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7F3" w:rsidRDefault="00D777F3" w:rsidP="00D777F3">
      <w:pPr>
        <w:widowControl/>
        <w:rPr>
          <w:rFonts w:ascii="microsoft yahei" w:eastAsia="宋体" w:hAnsi="microsoft yahei" w:cs="Helvetica" w:hint="eastAsia"/>
          <w:kern w:val="0"/>
          <w:szCs w:val="21"/>
        </w:rPr>
      </w:pPr>
      <w:r>
        <w:rPr>
          <w:rFonts w:ascii="microsoft yahei" w:eastAsia="宋体" w:hAnsi="microsoft yahei" w:cs="Helvetica" w:hint="eastAsia"/>
          <w:kern w:val="0"/>
          <w:szCs w:val="21"/>
        </w:rPr>
        <w:t>【天健集团</w:t>
      </w:r>
      <w:r w:rsidRPr="006F7F4F">
        <w:rPr>
          <w:rFonts w:ascii="microsoft yahei" w:eastAsia="宋体" w:hAnsi="microsoft yahei" w:cs="Helvetica" w:hint="eastAsia"/>
          <w:kern w:val="0"/>
          <w:szCs w:val="21"/>
        </w:rPr>
        <w:t>投资者教育</w:t>
      </w:r>
      <w:r>
        <w:rPr>
          <w:rFonts w:ascii="microsoft yahei" w:eastAsia="宋体" w:hAnsi="microsoft yahei" w:cs="Helvetica" w:hint="eastAsia"/>
          <w:kern w:val="0"/>
          <w:szCs w:val="21"/>
        </w:rPr>
        <w:t>专栏】</w:t>
      </w:r>
    </w:p>
    <w:p w:rsidR="00D777F3" w:rsidRDefault="00D777F3" w:rsidP="00D777F3">
      <w:pPr>
        <w:widowControl/>
        <w:adjustRightInd w:val="0"/>
        <w:snapToGrid w:val="0"/>
        <w:ind w:firstLineChars="200" w:firstLine="560"/>
        <w:jc w:val="left"/>
        <w:rPr>
          <w:rFonts w:ascii="楷体" w:eastAsia="楷体" w:hAnsi="楷体" w:cs="宋体"/>
          <w:kern w:val="0"/>
          <w:sz w:val="28"/>
          <w:szCs w:val="28"/>
        </w:rPr>
      </w:pPr>
      <w:r w:rsidRPr="00DC4D44">
        <w:rPr>
          <w:rFonts w:ascii="楷体" w:eastAsia="楷体" w:hAnsi="楷体" w:cs="宋体" w:hint="eastAsia"/>
          <w:kern w:val="0"/>
          <w:sz w:val="28"/>
          <w:szCs w:val="28"/>
        </w:rPr>
        <w:t>为</w:t>
      </w:r>
      <w:r w:rsidR="007D0A12">
        <w:rPr>
          <w:rFonts w:ascii="楷体" w:eastAsia="楷体" w:hAnsi="楷体" w:cs="宋体" w:hint="eastAsia"/>
          <w:kern w:val="0"/>
          <w:sz w:val="28"/>
          <w:szCs w:val="28"/>
        </w:rPr>
        <w:t>强化规范运作意识，</w:t>
      </w:r>
      <w:r>
        <w:rPr>
          <w:rFonts w:ascii="楷体" w:eastAsia="楷体" w:hAnsi="楷体" w:cs="宋体" w:hint="eastAsia"/>
          <w:kern w:val="0"/>
          <w:sz w:val="28"/>
          <w:szCs w:val="28"/>
        </w:rPr>
        <w:t>加强</w:t>
      </w:r>
      <w:r w:rsidRPr="00DC4D44">
        <w:rPr>
          <w:rFonts w:ascii="楷体" w:eastAsia="楷体" w:hAnsi="楷体" w:cs="宋体" w:hint="eastAsia"/>
          <w:kern w:val="0"/>
          <w:sz w:val="28"/>
          <w:szCs w:val="28"/>
        </w:rPr>
        <w:t>内幕信息保密，</w:t>
      </w:r>
      <w:r>
        <w:rPr>
          <w:rFonts w:ascii="楷体" w:eastAsia="楷体" w:hAnsi="楷体" w:cs="宋体" w:hint="eastAsia"/>
          <w:kern w:val="0"/>
          <w:sz w:val="28"/>
          <w:szCs w:val="28"/>
        </w:rPr>
        <w:t>提高公司治理水平，</w:t>
      </w:r>
      <w:r w:rsidRPr="00DC4D44">
        <w:rPr>
          <w:rFonts w:ascii="楷体" w:eastAsia="楷体" w:hAnsi="楷体" w:cs="宋体" w:hint="eastAsia"/>
          <w:kern w:val="0"/>
          <w:sz w:val="28"/>
          <w:szCs w:val="28"/>
        </w:rPr>
        <w:t>董事会办公室通过搜集、研究相关典型案例，在月刊</w:t>
      </w:r>
      <w:r>
        <w:rPr>
          <w:rFonts w:ascii="楷体" w:eastAsia="楷体" w:hAnsi="楷体" w:cs="宋体" w:hint="eastAsia"/>
          <w:kern w:val="0"/>
          <w:sz w:val="28"/>
          <w:szCs w:val="28"/>
        </w:rPr>
        <w:t>专</w:t>
      </w:r>
      <w:r w:rsidRPr="00DC4D44">
        <w:rPr>
          <w:rFonts w:ascii="楷体" w:eastAsia="楷体" w:hAnsi="楷体" w:cs="宋体" w:hint="eastAsia"/>
          <w:kern w:val="0"/>
          <w:sz w:val="28"/>
          <w:szCs w:val="28"/>
        </w:rPr>
        <w:t>设“投资者教育专栏”，帮助公司员工了解形形色色的违法违规案例，增强守法和风险防范的意识。</w:t>
      </w:r>
    </w:p>
    <w:p w:rsidR="00B260FE" w:rsidRPr="00DC4D44" w:rsidRDefault="00B260FE" w:rsidP="00B260FE">
      <w:pPr>
        <w:widowControl/>
        <w:adjustRightInd w:val="0"/>
        <w:snapToGrid w:val="0"/>
        <w:ind w:firstLineChars="200" w:firstLine="420"/>
        <w:jc w:val="left"/>
        <w:rPr>
          <w:rFonts w:ascii="楷体" w:eastAsia="楷体" w:hAnsi="楷体" w:cs="Helvetica"/>
          <w:kern w:val="0"/>
          <w:szCs w:val="21"/>
        </w:rPr>
      </w:pPr>
    </w:p>
    <w:p w:rsidR="00D777F3" w:rsidRPr="00EC7549" w:rsidRDefault="00D777F3" w:rsidP="00B260FE">
      <w:pPr>
        <w:jc w:val="center"/>
        <w:rPr>
          <w:rFonts w:ascii="方正小标宋_GBK" w:eastAsia="方正小标宋_GBK"/>
          <w:sz w:val="32"/>
          <w:szCs w:val="32"/>
        </w:rPr>
      </w:pPr>
      <w:r w:rsidRPr="00EC7549">
        <w:rPr>
          <w:rFonts w:ascii="方正小标宋_GBK" w:eastAsia="方正小标宋_GBK" w:hint="eastAsia"/>
          <w:sz w:val="32"/>
          <w:szCs w:val="32"/>
        </w:rPr>
        <w:t>新《证券法》实施百天的那些</w:t>
      </w:r>
      <w:r w:rsidR="005D0DD4">
        <w:rPr>
          <w:rFonts w:ascii="方正小标宋_GBK" w:eastAsia="方正小标宋_GBK" w:hint="eastAsia"/>
          <w:sz w:val="32"/>
          <w:szCs w:val="32"/>
        </w:rPr>
        <w:t>“</w:t>
      </w:r>
      <w:r w:rsidR="005B540F">
        <w:rPr>
          <w:rFonts w:ascii="方正小标宋_GBK" w:eastAsia="方正小标宋_GBK" w:hint="eastAsia"/>
          <w:sz w:val="32"/>
          <w:szCs w:val="32"/>
        </w:rPr>
        <w:t>首单</w:t>
      </w:r>
      <w:r w:rsidR="005D0DD4">
        <w:rPr>
          <w:rFonts w:ascii="方正小标宋_GBK" w:eastAsia="方正小标宋_GBK" w:hint="eastAsia"/>
          <w:sz w:val="32"/>
          <w:szCs w:val="32"/>
        </w:rPr>
        <w:t>”</w:t>
      </w:r>
      <w:r w:rsidR="005B540F">
        <w:rPr>
          <w:rFonts w:ascii="方正小标宋_GBK" w:eastAsia="方正小标宋_GBK" w:hint="eastAsia"/>
          <w:sz w:val="32"/>
          <w:szCs w:val="32"/>
        </w:rPr>
        <w:t>案例</w:t>
      </w:r>
    </w:p>
    <w:p w:rsidR="00703CD9" w:rsidRPr="002E46E1" w:rsidRDefault="00703CD9" w:rsidP="002E46E1">
      <w:pPr>
        <w:ind w:firstLineChars="200" w:firstLine="420"/>
        <w:rPr>
          <w:rFonts w:ascii="仿宋" w:eastAsia="仿宋" w:hAnsi="仿宋"/>
        </w:rPr>
      </w:pPr>
      <w:r w:rsidRPr="002E46E1">
        <w:rPr>
          <w:rFonts w:ascii="仿宋" w:eastAsia="仿宋" w:hAnsi="仿宋"/>
        </w:rPr>
        <w:t>新《证券法》从2020年3月1日实施</w:t>
      </w:r>
      <w:r w:rsidR="002E46E1" w:rsidRPr="002E46E1">
        <w:rPr>
          <w:rFonts w:ascii="仿宋" w:eastAsia="仿宋" w:hAnsi="仿宋" w:hint="eastAsia"/>
        </w:rPr>
        <w:t>至今</w:t>
      </w:r>
      <w:r w:rsidRPr="002E46E1">
        <w:rPr>
          <w:rFonts w:ascii="仿宋" w:eastAsia="仿宋" w:hAnsi="仿宋"/>
        </w:rPr>
        <w:t>一百</w:t>
      </w:r>
      <w:r w:rsidR="002E46E1" w:rsidRPr="002E46E1">
        <w:rPr>
          <w:rFonts w:ascii="仿宋" w:eastAsia="仿宋" w:hAnsi="仿宋"/>
        </w:rPr>
        <w:t>多</w:t>
      </w:r>
      <w:r w:rsidRPr="002E46E1">
        <w:rPr>
          <w:rFonts w:ascii="仿宋" w:eastAsia="仿宋" w:hAnsi="仿宋"/>
        </w:rPr>
        <w:t>天，我们梳理了发生在这一百天中的若干“首单”案例，通过</w:t>
      </w:r>
      <w:r w:rsidR="009724CA">
        <w:rPr>
          <w:rFonts w:ascii="仿宋" w:eastAsia="仿宋" w:hAnsi="仿宋"/>
        </w:rPr>
        <w:t>这些</w:t>
      </w:r>
      <w:r w:rsidRPr="002E46E1">
        <w:rPr>
          <w:rFonts w:ascii="仿宋" w:eastAsia="仿宋" w:hAnsi="仿宋"/>
        </w:rPr>
        <w:t>案例</w:t>
      </w:r>
      <w:r w:rsidR="009724CA">
        <w:rPr>
          <w:rFonts w:ascii="仿宋" w:eastAsia="仿宋" w:hAnsi="仿宋" w:hint="eastAsia"/>
        </w:rPr>
        <w:t>和</w:t>
      </w:r>
      <w:r w:rsidR="00F15F99" w:rsidRPr="002E46E1">
        <w:rPr>
          <w:rFonts w:ascii="仿宋" w:eastAsia="仿宋" w:hAnsi="仿宋"/>
        </w:rPr>
        <w:t>大家一起</w:t>
      </w:r>
      <w:r w:rsidRPr="002E46E1">
        <w:rPr>
          <w:rFonts w:ascii="仿宋" w:eastAsia="仿宋" w:hAnsi="仿宋"/>
        </w:rPr>
        <w:t>进一步学习《证券法》。</w:t>
      </w:r>
    </w:p>
    <w:p w:rsidR="00E01FF4" w:rsidRPr="002E46E1" w:rsidRDefault="00703CD9" w:rsidP="002E46E1">
      <w:pPr>
        <w:jc w:val="center"/>
        <w:rPr>
          <w:rFonts w:ascii="黑体" w:eastAsia="黑体" w:hAnsi="黑体"/>
        </w:rPr>
      </w:pPr>
      <w:proofErr w:type="gramStart"/>
      <w:r w:rsidRPr="002E46E1">
        <w:rPr>
          <w:rFonts w:ascii="黑体" w:eastAsia="黑体" w:hAnsi="黑体"/>
          <w:bCs/>
        </w:rPr>
        <w:t>董监高近</w:t>
      </w:r>
      <w:proofErr w:type="gramEnd"/>
      <w:r w:rsidRPr="002E46E1">
        <w:rPr>
          <w:rFonts w:ascii="黑体" w:eastAsia="黑体" w:hAnsi="黑体"/>
          <w:bCs/>
        </w:rPr>
        <w:t>亲属短线交易</w:t>
      </w:r>
    </w:p>
    <w:p w:rsidR="006F073E" w:rsidRDefault="00703CD9" w:rsidP="002E46E1">
      <w:pPr>
        <w:ind w:firstLineChars="200" w:firstLine="420"/>
        <w:rPr>
          <w:rFonts w:ascii="仿宋" w:eastAsia="仿宋" w:hAnsi="仿宋" w:hint="eastAsia"/>
        </w:rPr>
      </w:pPr>
      <w:r w:rsidRPr="002E46E1">
        <w:rPr>
          <w:rFonts w:ascii="仿宋" w:eastAsia="仿宋" w:hAnsi="仿宋"/>
        </w:rPr>
        <w:t>《证券法》第一百八十九条规定，</w:t>
      </w:r>
      <w:r w:rsidRPr="00BD2F5C">
        <w:rPr>
          <w:rFonts w:ascii="仿宋" w:eastAsia="仿宋" w:hAnsi="仿宋"/>
          <w:bCs/>
        </w:rPr>
        <w:t>董</w:t>
      </w:r>
      <w:proofErr w:type="gramStart"/>
      <w:r w:rsidRPr="00BD2F5C">
        <w:rPr>
          <w:rFonts w:ascii="仿宋" w:eastAsia="仿宋" w:hAnsi="仿宋"/>
          <w:bCs/>
        </w:rPr>
        <w:t>监高</w:t>
      </w:r>
      <w:r w:rsidRPr="00BD2F5C">
        <w:rPr>
          <w:rFonts w:ascii="仿宋" w:eastAsia="仿宋" w:hAnsi="仿宋"/>
        </w:rPr>
        <w:t>违反</w:t>
      </w:r>
      <w:proofErr w:type="gramEnd"/>
      <w:r w:rsidRPr="00BD2F5C">
        <w:rPr>
          <w:rFonts w:ascii="仿宋" w:eastAsia="仿宋" w:hAnsi="仿宋"/>
        </w:rPr>
        <w:t>第四十四条规定，买卖该公司股票或者其他具有股权性质的证券（包括其配偶、父母、子女持有的及利用他人账户持有的股票或者其他具有股权性质的证券）的，</w:t>
      </w:r>
      <w:r w:rsidRPr="00BD2F5C">
        <w:rPr>
          <w:rFonts w:ascii="仿宋" w:eastAsia="仿宋" w:hAnsi="仿宋"/>
          <w:bCs/>
        </w:rPr>
        <w:t>给予警告</w:t>
      </w:r>
      <w:r w:rsidRPr="00BD2F5C">
        <w:rPr>
          <w:rFonts w:ascii="仿宋" w:eastAsia="仿宋" w:hAnsi="仿宋"/>
        </w:rPr>
        <w:t>，并</w:t>
      </w:r>
      <w:r w:rsidRPr="002E46E1">
        <w:rPr>
          <w:rFonts w:ascii="仿宋" w:eastAsia="仿宋" w:hAnsi="仿宋"/>
        </w:rPr>
        <w:t>处以十万元以上一百万元以下的罚款。</w:t>
      </w:r>
    </w:p>
    <w:p w:rsidR="00703CD9" w:rsidRPr="002E46E1" w:rsidRDefault="006F073E" w:rsidP="002E46E1">
      <w:pPr>
        <w:ind w:firstLineChars="200" w:firstLine="420"/>
        <w:rPr>
          <w:rFonts w:ascii="仿宋" w:eastAsia="仿宋" w:hAnsi="仿宋"/>
        </w:rPr>
      </w:pPr>
      <w:r>
        <w:rPr>
          <w:rFonts w:ascii="仿宋" w:eastAsia="仿宋" w:hAnsi="仿宋" w:hint="eastAsia"/>
        </w:rPr>
        <w:t>上述</w:t>
      </w:r>
      <w:r w:rsidR="00ED78E7">
        <w:rPr>
          <w:rFonts w:ascii="仿宋" w:eastAsia="仿宋" w:hAnsi="仿宋" w:hint="eastAsia"/>
        </w:rPr>
        <w:t>对于短线交易受限主体除持股5%以上股东、</w:t>
      </w:r>
      <w:proofErr w:type="gramStart"/>
      <w:r w:rsidR="00ED78E7">
        <w:rPr>
          <w:rFonts w:ascii="仿宋" w:eastAsia="仿宋" w:hAnsi="仿宋" w:hint="eastAsia"/>
        </w:rPr>
        <w:t>董监高之外</w:t>
      </w:r>
      <w:proofErr w:type="gramEnd"/>
      <w:r w:rsidR="00ED78E7">
        <w:rPr>
          <w:rFonts w:ascii="仿宋" w:eastAsia="仿宋" w:hAnsi="仿宋" w:hint="eastAsia"/>
        </w:rPr>
        <w:t>，受限范围扩大至：包括其配偶、父母、子女持有的及利用他人账户持有的股票或其他具有股权性质的证券。证券品种由公司股票，范围扩大至其他具有股权性质的证券，包括可转债、可交债、CDR等。</w:t>
      </w:r>
    </w:p>
    <w:p w:rsidR="006550CE" w:rsidRDefault="00703CD9" w:rsidP="002E46E1">
      <w:pPr>
        <w:ind w:firstLineChars="200" w:firstLine="420"/>
        <w:rPr>
          <w:rFonts w:ascii="仿宋" w:eastAsia="仿宋" w:hAnsi="仿宋"/>
        </w:rPr>
      </w:pPr>
      <w:r w:rsidRPr="002E46E1">
        <w:rPr>
          <w:rFonts w:ascii="仿宋" w:eastAsia="仿宋" w:hAnsi="仿宋"/>
        </w:rPr>
        <w:t>从法律责任看，强调的是</w:t>
      </w:r>
      <w:proofErr w:type="gramStart"/>
      <w:r w:rsidRPr="002E46E1">
        <w:rPr>
          <w:rFonts w:ascii="仿宋" w:eastAsia="仿宋" w:hAnsi="仿宋"/>
        </w:rPr>
        <w:t>董监高的</w:t>
      </w:r>
      <w:proofErr w:type="gramEnd"/>
      <w:r w:rsidRPr="002E46E1">
        <w:rPr>
          <w:rFonts w:ascii="仿宋" w:eastAsia="仿宋" w:hAnsi="仿宋"/>
        </w:rPr>
        <w:t>短线交易禁止义务。那什么样的行为才算</w:t>
      </w:r>
      <w:proofErr w:type="gramStart"/>
      <w:r w:rsidRPr="002E46E1">
        <w:rPr>
          <w:rFonts w:ascii="仿宋" w:eastAsia="仿宋" w:hAnsi="仿宋"/>
        </w:rPr>
        <w:t>董监高买卖</w:t>
      </w:r>
      <w:proofErr w:type="gramEnd"/>
      <w:r w:rsidRPr="002E46E1">
        <w:rPr>
          <w:rFonts w:ascii="仿宋" w:eastAsia="仿宋" w:hAnsi="仿宋"/>
        </w:rPr>
        <w:t>其配偶、父母、子女持有的及利用他人账户持有的股票或者其他具有股权性质的证券呢？</w:t>
      </w:r>
      <w:r w:rsidR="00F15F99">
        <w:rPr>
          <w:rFonts w:ascii="仿宋" w:eastAsia="仿宋" w:hAnsi="仿宋"/>
        </w:rPr>
        <w:t>某</w:t>
      </w:r>
      <w:r w:rsidRPr="002E46E1">
        <w:rPr>
          <w:rFonts w:ascii="仿宋" w:eastAsia="仿宋" w:hAnsi="仿宋"/>
        </w:rPr>
        <w:t>上市公司高管母亲六个月内卖出再买入的行为</w:t>
      </w:r>
      <w:r w:rsidR="00F15F99">
        <w:rPr>
          <w:rFonts w:ascii="仿宋" w:eastAsia="仿宋" w:hAnsi="仿宋"/>
        </w:rPr>
        <w:t>为</w:t>
      </w:r>
      <w:r w:rsidRPr="002E46E1">
        <w:rPr>
          <w:rFonts w:ascii="仿宋" w:eastAsia="仿宋" w:hAnsi="仿宋"/>
        </w:rPr>
        <w:t>短线交易</w:t>
      </w:r>
      <w:r w:rsidR="00F15F99">
        <w:rPr>
          <w:rFonts w:ascii="仿宋" w:eastAsia="仿宋" w:hAnsi="仿宋"/>
        </w:rPr>
        <w:t>，</w:t>
      </w:r>
      <w:r w:rsidRPr="002E46E1">
        <w:rPr>
          <w:rFonts w:ascii="仿宋" w:eastAsia="仿宋" w:hAnsi="仿宋"/>
        </w:rPr>
        <w:t>但未明确是该高管买卖其母亲持有的股票，目前未见行政处罚。对照</w:t>
      </w:r>
      <w:r w:rsidR="006550CE">
        <w:rPr>
          <w:rFonts w:ascii="仿宋" w:eastAsia="仿宋" w:hAnsi="仿宋" w:hint="eastAsia"/>
        </w:rPr>
        <w:t>上述</w:t>
      </w:r>
      <w:r w:rsidRPr="002E46E1">
        <w:rPr>
          <w:rFonts w:ascii="仿宋" w:eastAsia="仿宋" w:hAnsi="仿宋"/>
        </w:rPr>
        <w:t>条</w:t>
      </w:r>
      <w:r w:rsidR="006550CE">
        <w:rPr>
          <w:rFonts w:ascii="仿宋" w:eastAsia="仿宋" w:hAnsi="仿宋"/>
        </w:rPr>
        <w:t>款</w:t>
      </w:r>
      <w:r w:rsidRPr="002E46E1">
        <w:rPr>
          <w:rFonts w:ascii="仿宋" w:eastAsia="仿宋" w:hAnsi="仿宋"/>
        </w:rPr>
        <w:t>，短线交易的行政处罚并无情节轻重等前提。</w:t>
      </w:r>
    </w:p>
    <w:p w:rsidR="00703CD9" w:rsidRDefault="006550CE" w:rsidP="002E46E1">
      <w:pPr>
        <w:ind w:firstLineChars="200" w:firstLine="420"/>
        <w:rPr>
          <w:rFonts w:ascii="仿宋" w:eastAsia="仿宋" w:hAnsi="仿宋" w:hint="eastAsia"/>
        </w:rPr>
      </w:pPr>
      <w:r>
        <w:rPr>
          <w:rFonts w:ascii="仿宋" w:eastAsia="仿宋" w:hAnsi="仿宋"/>
        </w:rPr>
        <w:t>虽然</w:t>
      </w:r>
      <w:r w:rsidR="00703CD9" w:rsidRPr="002E46E1">
        <w:rPr>
          <w:rFonts w:ascii="仿宋" w:eastAsia="仿宋" w:hAnsi="仿宋"/>
        </w:rPr>
        <w:t>细节</w:t>
      </w:r>
      <w:r>
        <w:rPr>
          <w:rFonts w:ascii="仿宋" w:eastAsia="仿宋" w:hAnsi="仿宋"/>
        </w:rPr>
        <w:t>未</w:t>
      </w:r>
      <w:r w:rsidR="00703CD9" w:rsidRPr="002E46E1">
        <w:rPr>
          <w:rFonts w:ascii="仿宋" w:eastAsia="仿宋" w:hAnsi="仿宋"/>
        </w:rPr>
        <w:t>明确，</w:t>
      </w:r>
      <w:r>
        <w:rPr>
          <w:rFonts w:ascii="仿宋" w:eastAsia="仿宋" w:hAnsi="仿宋"/>
        </w:rPr>
        <w:t>但上市公司</w:t>
      </w:r>
      <w:proofErr w:type="gramStart"/>
      <w:r w:rsidR="00703CD9" w:rsidRPr="002E46E1">
        <w:rPr>
          <w:rFonts w:ascii="仿宋" w:eastAsia="仿宋" w:hAnsi="仿宋"/>
        </w:rPr>
        <w:t>董监高及</w:t>
      </w:r>
      <w:proofErr w:type="gramEnd"/>
      <w:r w:rsidR="00703CD9" w:rsidRPr="002E46E1">
        <w:rPr>
          <w:rFonts w:ascii="仿宋" w:eastAsia="仿宋" w:hAnsi="仿宋"/>
        </w:rPr>
        <w:t>大股东</w:t>
      </w:r>
      <w:r>
        <w:rPr>
          <w:rFonts w:ascii="仿宋" w:eastAsia="仿宋" w:hAnsi="仿宋"/>
        </w:rPr>
        <w:t>要</w:t>
      </w:r>
      <w:r w:rsidR="00703CD9" w:rsidRPr="002E46E1">
        <w:rPr>
          <w:rFonts w:ascii="仿宋" w:eastAsia="仿宋" w:hAnsi="仿宋"/>
        </w:rPr>
        <w:t>做好本人及近亲属账户的梳理、管控工作，从谨慎角度尽量避免同一主体以及相关但不同主体在六个月内买入再卖出或卖出再买入的交易行为发生。</w:t>
      </w:r>
    </w:p>
    <w:p w:rsidR="00703CD9" w:rsidRPr="002E46E1" w:rsidRDefault="008355F1" w:rsidP="002E46E1">
      <w:pPr>
        <w:jc w:val="center"/>
        <w:rPr>
          <w:rFonts w:ascii="黑体" w:eastAsia="黑体" w:hAnsi="黑体"/>
        </w:rPr>
      </w:pPr>
      <w:r w:rsidRPr="002E46E1">
        <w:rPr>
          <w:rFonts w:ascii="黑体" w:eastAsia="黑体" w:hAnsi="黑体"/>
        </w:rPr>
        <w:t>终止上市</w:t>
      </w:r>
    </w:p>
    <w:p w:rsidR="009923ED" w:rsidRDefault="009923ED" w:rsidP="008355F1">
      <w:pPr>
        <w:ind w:firstLineChars="200" w:firstLine="420"/>
        <w:rPr>
          <w:rFonts w:ascii="仿宋" w:eastAsia="仿宋" w:hAnsi="仿宋"/>
        </w:rPr>
      </w:pPr>
      <w:r>
        <w:rPr>
          <w:rFonts w:ascii="仿宋" w:eastAsia="仿宋" w:hAnsi="仿宋"/>
        </w:rPr>
        <w:t>新</w:t>
      </w:r>
      <w:r w:rsidRPr="002E46E1">
        <w:rPr>
          <w:rFonts w:ascii="仿宋" w:eastAsia="仿宋" w:hAnsi="仿宋"/>
        </w:rPr>
        <w:t>《证券法》删除了有关证券暂停上市交易的规定，授权交易所按规则办理，增加</w:t>
      </w:r>
      <w:r w:rsidR="00A67B15">
        <w:rPr>
          <w:rFonts w:ascii="仿宋" w:eastAsia="仿宋" w:hAnsi="仿宋"/>
        </w:rPr>
        <w:t>了</w:t>
      </w:r>
      <w:r w:rsidRPr="002E46E1">
        <w:rPr>
          <w:rFonts w:ascii="仿宋" w:eastAsia="仿宋" w:hAnsi="仿宋"/>
        </w:rPr>
        <w:t>终止上市的灵活性。</w:t>
      </w:r>
    </w:p>
    <w:p w:rsidR="00ED78E7" w:rsidRDefault="008355F1" w:rsidP="003744F7">
      <w:pPr>
        <w:ind w:firstLineChars="200" w:firstLine="420"/>
        <w:rPr>
          <w:rFonts w:ascii="仿宋" w:eastAsia="仿宋" w:hAnsi="仿宋" w:hint="eastAsia"/>
        </w:rPr>
      </w:pPr>
      <w:r w:rsidRPr="002E46E1">
        <w:rPr>
          <w:rFonts w:ascii="仿宋" w:eastAsia="仿宋" w:hAnsi="仿宋"/>
        </w:rPr>
        <w:t>因2017年、2018年连续两年期末净资产为负值和连续两个会计年度财务会计报告被会计师事务所出具无法表示意见的审计报告，上市公司BQL股票自2019年5月24日起暂停上市。2020年3月13日，该公司披露经审计的2019年年度报告，显示2019年度归属于上市公司股东的净利润为-9.32亿元，2019年末归属于上市公司股东的净资产为-59.79亿元，年审会计师出具了无法表示意见的审计报告。4月1日，交易所决定终止该公司股票上市。</w:t>
      </w:r>
    </w:p>
    <w:p w:rsidR="008355F1" w:rsidRDefault="008355F1" w:rsidP="003744F7">
      <w:pPr>
        <w:ind w:firstLineChars="200" w:firstLine="420"/>
        <w:rPr>
          <w:rFonts w:ascii="仿宋" w:eastAsia="仿宋" w:hAnsi="仿宋"/>
        </w:rPr>
      </w:pPr>
      <w:r w:rsidRPr="002E46E1">
        <w:rPr>
          <w:rFonts w:ascii="仿宋" w:eastAsia="仿宋" w:hAnsi="仿宋"/>
        </w:rPr>
        <w:t>BQL公司成为新《证券法》实施</w:t>
      </w:r>
      <w:proofErr w:type="gramStart"/>
      <w:r w:rsidRPr="002E46E1">
        <w:rPr>
          <w:rFonts w:ascii="仿宋" w:eastAsia="仿宋" w:hAnsi="仿宋"/>
        </w:rPr>
        <w:t>后首单终止</w:t>
      </w:r>
      <w:proofErr w:type="gramEnd"/>
      <w:r w:rsidRPr="002E46E1">
        <w:rPr>
          <w:rFonts w:ascii="仿宋" w:eastAsia="仿宋" w:hAnsi="仿宋"/>
        </w:rPr>
        <w:t>上市案例。</w:t>
      </w:r>
      <w:r w:rsidR="003744F7" w:rsidRPr="002E46E1">
        <w:rPr>
          <w:rFonts w:ascii="仿宋" w:eastAsia="仿宋" w:hAnsi="仿宋"/>
        </w:rPr>
        <w:t>本案中的BQL是一家暂停上市公司，仍需按交易所规则处理终止上市问题。</w:t>
      </w:r>
    </w:p>
    <w:p w:rsidR="008355F1" w:rsidRPr="002E46E1" w:rsidRDefault="008355F1" w:rsidP="002E46E1">
      <w:pPr>
        <w:jc w:val="center"/>
        <w:rPr>
          <w:rFonts w:ascii="黑体" w:eastAsia="黑体" w:hAnsi="黑体"/>
        </w:rPr>
      </w:pPr>
      <w:r w:rsidRPr="002E46E1">
        <w:rPr>
          <w:rFonts w:ascii="黑体" w:eastAsia="黑体" w:hAnsi="黑体"/>
        </w:rPr>
        <w:t>持股变动1%的公告</w:t>
      </w:r>
    </w:p>
    <w:p w:rsidR="004E7849" w:rsidRDefault="006F073E" w:rsidP="008355F1">
      <w:pPr>
        <w:ind w:firstLineChars="200" w:firstLine="420"/>
        <w:rPr>
          <w:rFonts w:ascii="仿宋" w:eastAsia="仿宋" w:hAnsi="仿宋" w:hint="eastAsia"/>
        </w:rPr>
      </w:pPr>
      <w:r>
        <w:rPr>
          <w:rFonts w:ascii="仿宋" w:eastAsia="仿宋" w:hAnsi="仿宋"/>
        </w:rPr>
        <w:t>新</w:t>
      </w:r>
      <w:r w:rsidR="004E7849" w:rsidRPr="002E46E1">
        <w:rPr>
          <w:rFonts w:ascii="仿宋" w:eastAsia="仿宋" w:hAnsi="仿宋"/>
        </w:rPr>
        <w:t>《证券法》第六十三条第三款规定，持有表决权股份达5%的股东，其所持有表决权股份比例每增加或者减少1%，应在事实发生的次日通知上市公司并予公告。</w:t>
      </w:r>
    </w:p>
    <w:p w:rsidR="008355F1" w:rsidRPr="002E46E1" w:rsidRDefault="008355F1" w:rsidP="008355F1">
      <w:pPr>
        <w:ind w:firstLineChars="200" w:firstLine="420"/>
        <w:rPr>
          <w:rFonts w:ascii="仿宋" w:eastAsia="仿宋" w:hAnsi="仿宋"/>
        </w:rPr>
      </w:pPr>
      <w:r w:rsidRPr="002E46E1">
        <w:rPr>
          <w:rFonts w:ascii="仿宋" w:eastAsia="仿宋" w:hAnsi="仿宋"/>
        </w:rPr>
        <w:t>2020年3月2日，上市公司BYSW披露公告称，控股股东的一致行动人YKTZ合伙企业于2020年2月7日、2月10日及3月2日通过大宗交易方式累计减持462.5122万股，占上市公司总股本的1.0859%。</w:t>
      </w:r>
    </w:p>
    <w:p w:rsidR="008355F1" w:rsidRPr="002E46E1" w:rsidRDefault="008355F1" w:rsidP="008355F1">
      <w:pPr>
        <w:ind w:firstLineChars="200" w:firstLine="420"/>
        <w:rPr>
          <w:rFonts w:ascii="仿宋" w:eastAsia="仿宋" w:hAnsi="仿宋"/>
        </w:rPr>
      </w:pPr>
      <w:proofErr w:type="gramStart"/>
      <w:r w:rsidRPr="002E46E1">
        <w:rPr>
          <w:rFonts w:ascii="仿宋" w:eastAsia="仿宋" w:hAnsi="仿宋"/>
        </w:rPr>
        <w:t>一</w:t>
      </w:r>
      <w:proofErr w:type="gramEnd"/>
      <w:r w:rsidRPr="002E46E1">
        <w:rPr>
          <w:rFonts w:ascii="仿宋" w:eastAsia="仿宋" w:hAnsi="仿宋"/>
        </w:rPr>
        <w:t>日内变动1%时仅需公告而无需暂停交易。本案中的股东，在通过第三次大宗交易进行减持时，累计减</w:t>
      </w:r>
      <w:proofErr w:type="gramStart"/>
      <w:r w:rsidRPr="002E46E1">
        <w:rPr>
          <w:rFonts w:ascii="仿宋" w:eastAsia="仿宋" w:hAnsi="仿宋"/>
        </w:rPr>
        <w:t>持比例</w:t>
      </w:r>
      <w:proofErr w:type="gramEnd"/>
      <w:r w:rsidRPr="002E46E1">
        <w:rPr>
          <w:rFonts w:ascii="仿宋" w:eastAsia="仿宋" w:hAnsi="仿宋"/>
        </w:rPr>
        <w:t>达到了1.0859%，虽触发信息披露义务但无需在达到1%时停止卖出，且法律并不禁止其在次一交易日继续减持。</w:t>
      </w:r>
    </w:p>
    <w:p w:rsidR="008355F1" w:rsidRPr="002E46E1" w:rsidRDefault="008355F1" w:rsidP="002E46E1">
      <w:pPr>
        <w:jc w:val="center"/>
        <w:rPr>
          <w:rFonts w:ascii="黑体" w:eastAsia="黑体" w:hAnsi="黑体"/>
          <w:bCs/>
        </w:rPr>
      </w:pPr>
      <w:r w:rsidRPr="002E46E1">
        <w:rPr>
          <w:rFonts w:ascii="黑体" w:eastAsia="黑体" w:hAnsi="黑体"/>
          <w:bCs/>
        </w:rPr>
        <w:t>收购人承诺收购行为完成后18个月内不转让收购公司股票</w:t>
      </w:r>
    </w:p>
    <w:p w:rsidR="004E7849" w:rsidRPr="002E46E1" w:rsidRDefault="006F073E" w:rsidP="004E7849">
      <w:pPr>
        <w:ind w:firstLineChars="200" w:firstLine="420"/>
        <w:rPr>
          <w:rFonts w:ascii="仿宋" w:eastAsia="仿宋" w:hAnsi="仿宋"/>
        </w:rPr>
      </w:pPr>
      <w:r>
        <w:rPr>
          <w:rFonts w:ascii="仿宋" w:eastAsia="仿宋" w:hAnsi="仿宋"/>
        </w:rPr>
        <w:lastRenderedPageBreak/>
        <w:t>新</w:t>
      </w:r>
      <w:r w:rsidR="004E7849" w:rsidRPr="002E46E1">
        <w:rPr>
          <w:rFonts w:ascii="仿宋" w:eastAsia="仿宋" w:hAnsi="仿宋"/>
        </w:rPr>
        <w:t>《证券法》第七十五条将收购行为完成后的股份锁定期由12个月提高至18个月，强化上市公司收购后控制权的稳定性。</w:t>
      </w:r>
    </w:p>
    <w:p w:rsidR="008355F1" w:rsidRPr="002E46E1" w:rsidRDefault="008355F1" w:rsidP="008355F1">
      <w:pPr>
        <w:ind w:firstLineChars="200" w:firstLine="420"/>
        <w:rPr>
          <w:rFonts w:ascii="仿宋" w:eastAsia="仿宋" w:hAnsi="仿宋"/>
        </w:rPr>
      </w:pPr>
      <w:r w:rsidRPr="002E46E1">
        <w:rPr>
          <w:rFonts w:ascii="仿宋" w:eastAsia="仿宋" w:hAnsi="仿宋"/>
        </w:rPr>
        <w:t>A公司持有</w:t>
      </w:r>
      <w:r w:rsidR="004E7849">
        <w:rPr>
          <w:rFonts w:ascii="仿宋" w:eastAsia="仿宋" w:hAnsi="仿宋" w:hint="eastAsia"/>
        </w:rPr>
        <w:t>某</w:t>
      </w:r>
      <w:r w:rsidRPr="002E46E1">
        <w:rPr>
          <w:rFonts w:ascii="仿宋" w:eastAsia="仿宋" w:hAnsi="仿宋"/>
        </w:rPr>
        <w:t>上市公司12.9734%股份，同时上市公司大股东自然人甲将其所持10.2952%股份的表决权委托给A公司行使，A公司因此合计拥有表决权比例为23.2686%。</w:t>
      </w:r>
    </w:p>
    <w:p w:rsidR="008355F1" w:rsidRPr="002E46E1" w:rsidRDefault="008355F1" w:rsidP="008355F1">
      <w:pPr>
        <w:ind w:firstLineChars="200" w:firstLine="420"/>
        <w:rPr>
          <w:rFonts w:ascii="仿宋" w:eastAsia="仿宋" w:hAnsi="仿宋"/>
        </w:rPr>
      </w:pPr>
      <w:r w:rsidRPr="002E46E1">
        <w:rPr>
          <w:rFonts w:ascii="仿宋" w:eastAsia="仿宋" w:hAnsi="仿宋"/>
        </w:rPr>
        <w:t>2020年3月11日，甲与A公司签署股权转让协议及委托表决权委托协议，将其所持5.2952%股份转让给A公司，同时将委托的表决权股份比例调整为7.0266%。收购完成后，A公司持有上市公司18.2686%股权，合计拥有表决权比例为25.2952%。3月13日，A公司披露简式权益变动报告书承诺：在本次交易完成、权益变动后18个月内，不转让本次权益变动所获得的股份。</w:t>
      </w:r>
    </w:p>
    <w:p w:rsidR="008355F1" w:rsidRPr="002E46E1" w:rsidRDefault="008355F1" w:rsidP="002E46E1">
      <w:pPr>
        <w:jc w:val="center"/>
        <w:rPr>
          <w:rFonts w:ascii="黑体" w:eastAsia="黑体" w:hAnsi="黑体"/>
          <w:bCs/>
        </w:rPr>
      </w:pPr>
      <w:r w:rsidRPr="002E46E1">
        <w:rPr>
          <w:rFonts w:ascii="黑体" w:eastAsia="黑体" w:hAnsi="黑体"/>
          <w:bCs/>
        </w:rPr>
        <w:t>上市公司</w:t>
      </w:r>
      <w:proofErr w:type="gramStart"/>
      <w:r w:rsidRPr="002E46E1">
        <w:rPr>
          <w:rFonts w:ascii="黑体" w:eastAsia="黑体" w:hAnsi="黑体"/>
          <w:bCs/>
        </w:rPr>
        <w:t>董监高无法</w:t>
      </w:r>
      <w:proofErr w:type="gramEnd"/>
      <w:r w:rsidRPr="002E46E1">
        <w:rPr>
          <w:rFonts w:ascii="黑体" w:eastAsia="黑体" w:hAnsi="黑体"/>
          <w:bCs/>
        </w:rPr>
        <w:t>对年报的真实、准确、完整承担保证责任</w:t>
      </w:r>
    </w:p>
    <w:p w:rsidR="00902EC0" w:rsidRPr="002E46E1" w:rsidRDefault="006F073E" w:rsidP="00902EC0">
      <w:pPr>
        <w:ind w:firstLineChars="200" w:firstLine="420"/>
        <w:rPr>
          <w:rFonts w:ascii="仿宋" w:eastAsia="仿宋" w:hAnsi="仿宋"/>
        </w:rPr>
      </w:pPr>
      <w:r>
        <w:rPr>
          <w:rFonts w:ascii="仿宋" w:eastAsia="仿宋" w:hAnsi="仿宋"/>
        </w:rPr>
        <w:t>新</w:t>
      </w:r>
      <w:r w:rsidR="00902EC0" w:rsidRPr="002E46E1">
        <w:rPr>
          <w:rFonts w:ascii="仿宋" w:eastAsia="仿宋" w:hAnsi="仿宋"/>
        </w:rPr>
        <w:t>《证券法》第八十二条规定</w:t>
      </w:r>
      <w:proofErr w:type="gramStart"/>
      <w:r w:rsidR="00902EC0" w:rsidRPr="002E46E1">
        <w:rPr>
          <w:rFonts w:ascii="仿宋" w:eastAsia="仿宋" w:hAnsi="仿宋"/>
        </w:rPr>
        <w:t>董监高无法</w:t>
      </w:r>
      <w:proofErr w:type="gramEnd"/>
      <w:r w:rsidR="00902EC0" w:rsidRPr="002E46E1">
        <w:rPr>
          <w:rFonts w:ascii="仿宋" w:eastAsia="仿宋" w:hAnsi="仿宋"/>
        </w:rPr>
        <w:t>保证定期报告内容真实、准确、完整或有异议的，可以在书面确认意见中发表意见并陈述理由。</w:t>
      </w:r>
    </w:p>
    <w:p w:rsidR="008355F1" w:rsidRPr="002E46E1" w:rsidRDefault="008355F1" w:rsidP="008355F1">
      <w:pPr>
        <w:ind w:firstLineChars="200" w:firstLine="420"/>
        <w:rPr>
          <w:rFonts w:ascii="仿宋" w:eastAsia="仿宋" w:hAnsi="仿宋"/>
        </w:rPr>
      </w:pPr>
      <w:r w:rsidRPr="002E46E1">
        <w:rPr>
          <w:rFonts w:ascii="仿宋" w:eastAsia="仿宋" w:hAnsi="仿宋"/>
        </w:rPr>
        <w:t>2020年4月23日晚，上市公司ZXGF披露《2019年年度报告》，公告显示该公司五位董事、三位监事及四位高级管理人员均无法保证公司年度报告的真实、准确、完整，并不同意承担任何个人或连带责任。</w:t>
      </w:r>
    </w:p>
    <w:p w:rsidR="008355F1" w:rsidRPr="002E46E1" w:rsidRDefault="008355F1" w:rsidP="008355F1">
      <w:pPr>
        <w:ind w:firstLineChars="200" w:firstLine="420"/>
        <w:rPr>
          <w:rFonts w:ascii="仿宋" w:eastAsia="仿宋" w:hAnsi="仿宋"/>
        </w:rPr>
      </w:pPr>
      <w:r w:rsidRPr="002E46E1">
        <w:rPr>
          <w:rFonts w:ascii="仿宋" w:eastAsia="仿宋" w:hAnsi="仿宋"/>
        </w:rPr>
        <w:t>当晚，交易所下发关注函，要求上述主体说明相关行为的合法合</w:t>
      </w:r>
      <w:proofErr w:type="gramStart"/>
      <w:r w:rsidRPr="002E46E1">
        <w:rPr>
          <w:rFonts w:ascii="仿宋" w:eastAsia="仿宋" w:hAnsi="仿宋"/>
        </w:rPr>
        <w:t>规</w:t>
      </w:r>
      <w:proofErr w:type="gramEnd"/>
      <w:r w:rsidRPr="002E46E1">
        <w:rPr>
          <w:rFonts w:ascii="仿宋" w:eastAsia="仿宋" w:hAnsi="仿宋"/>
        </w:rPr>
        <w:t>性，以及是否履行了勤勉尽责义务。4月27日，交易所进一步对公司采取责令改正措施，要求</w:t>
      </w:r>
      <w:r w:rsidR="006F073E">
        <w:rPr>
          <w:rFonts w:ascii="仿宋" w:eastAsia="仿宋" w:hAnsi="仿宋" w:hint="eastAsia"/>
        </w:rPr>
        <w:t>其</w:t>
      </w:r>
      <w:r w:rsidRPr="002E46E1">
        <w:rPr>
          <w:rFonts w:ascii="仿宋" w:eastAsia="仿宋" w:hAnsi="仿宋"/>
        </w:rPr>
        <w:t>整改和纠正</w:t>
      </w:r>
      <w:r w:rsidR="006F073E">
        <w:rPr>
          <w:rFonts w:ascii="仿宋" w:eastAsia="仿宋" w:hAnsi="仿宋" w:hint="eastAsia"/>
        </w:rPr>
        <w:t>，</w:t>
      </w:r>
      <w:r w:rsidRPr="002E46E1">
        <w:rPr>
          <w:rFonts w:ascii="仿宋" w:eastAsia="仿宋" w:hAnsi="仿宋"/>
        </w:rPr>
        <w:t>重新编制2019年年报</w:t>
      </w:r>
      <w:r w:rsidR="006F073E">
        <w:rPr>
          <w:rFonts w:ascii="仿宋" w:eastAsia="仿宋" w:hAnsi="仿宋" w:hint="eastAsia"/>
        </w:rPr>
        <w:t>，</w:t>
      </w:r>
      <w:r w:rsidRPr="002E46E1">
        <w:rPr>
          <w:rFonts w:ascii="仿宋" w:eastAsia="仿宋" w:hAnsi="仿宋"/>
        </w:rPr>
        <w:t>所有现任</w:t>
      </w:r>
      <w:proofErr w:type="gramStart"/>
      <w:r w:rsidRPr="002E46E1">
        <w:rPr>
          <w:rFonts w:ascii="仿宋" w:eastAsia="仿宋" w:hAnsi="仿宋"/>
        </w:rPr>
        <w:t>董监高忠实</w:t>
      </w:r>
      <w:proofErr w:type="gramEnd"/>
      <w:r w:rsidRPr="002E46E1">
        <w:rPr>
          <w:rFonts w:ascii="仿宋" w:eastAsia="仿宋" w:hAnsi="仿宋"/>
        </w:rPr>
        <w:t>勤勉地履职，切实维护公司正常生产经营的稳定。</w:t>
      </w:r>
    </w:p>
    <w:p w:rsidR="008355F1" w:rsidRPr="002E46E1" w:rsidRDefault="008355F1" w:rsidP="008355F1">
      <w:pPr>
        <w:ind w:firstLineChars="200" w:firstLine="420"/>
        <w:rPr>
          <w:rFonts w:ascii="仿宋" w:eastAsia="仿宋" w:hAnsi="仿宋"/>
        </w:rPr>
      </w:pPr>
      <w:r w:rsidRPr="002E46E1">
        <w:rPr>
          <w:rFonts w:ascii="仿宋" w:eastAsia="仿宋" w:hAnsi="仿宋"/>
        </w:rPr>
        <w:t>结合本案，两点</w:t>
      </w:r>
      <w:r w:rsidR="002722FD">
        <w:rPr>
          <w:rFonts w:ascii="仿宋" w:eastAsia="仿宋" w:hAnsi="仿宋"/>
        </w:rPr>
        <w:t>启示</w:t>
      </w:r>
      <w:r w:rsidRPr="002E46E1">
        <w:rPr>
          <w:rFonts w:ascii="仿宋" w:eastAsia="仿宋" w:hAnsi="仿宋"/>
        </w:rPr>
        <w:t>：</w:t>
      </w:r>
      <w:r w:rsidR="006F073E">
        <w:rPr>
          <w:rFonts w:ascii="仿宋" w:eastAsia="仿宋" w:hAnsi="仿宋" w:hint="eastAsia"/>
        </w:rPr>
        <w:t>一</w:t>
      </w:r>
      <w:r w:rsidR="006F073E">
        <w:rPr>
          <w:rFonts w:ascii="仿宋" w:eastAsia="仿宋" w:hAnsi="仿宋"/>
        </w:rPr>
        <w:t>是</w:t>
      </w:r>
      <w:r w:rsidRPr="002E46E1">
        <w:rPr>
          <w:rFonts w:ascii="仿宋" w:eastAsia="仿宋" w:hAnsi="仿宋"/>
        </w:rPr>
        <w:t>信息披露法定义务的履行并不仅仅停留于发布公告</w:t>
      </w:r>
      <w:r w:rsidR="002722FD">
        <w:rPr>
          <w:rFonts w:ascii="仿宋" w:eastAsia="仿宋" w:hAnsi="仿宋" w:hint="eastAsia"/>
        </w:rPr>
        <w:t>上</w:t>
      </w:r>
      <w:r w:rsidRPr="002E46E1">
        <w:rPr>
          <w:rFonts w:ascii="仿宋" w:eastAsia="仿宋" w:hAnsi="仿宋"/>
        </w:rPr>
        <w:t>，只有在保证真实、准确、完整的前提下，公告才是有效的信息披露行为。</w:t>
      </w:r>
      <w:r w:rsidR="006F073E">
        <w:rPr>
          <w:rFonts w:ascii="仿宋" w:eastAsia="仿宋" w:hAnsi="仿宋" w:hint="eastAsia"/>
        </w:rPr>
        <w:t>二</w:t>
      </w:r>
      <w:r w:rsidR="006F073E">
        <w:rPr>
          <w:rFonts w:ascii="仿宋" w:eastAsia="仿宋" w:hAnsi="仿宋"/>
        </w:rPr>
        <w:t>是</w:t>
      </w:r>
      <w:r w:rsidR="002722FD" w:rsidRPr="002E46E1">
        <w:rPr>
          <w:rFonts w:ascii="仿宋" w:eastAsia="仿宋" w:hAnsi="仿宋"/>
        </w:rPr>
        <w:t>做好定期报告编制、审议和披露工作，是上市公司</w:t>
      </w:r>
      <w:proofErr w:type="gramStart"/>
      <w:r w:rsidR="002722FD" w:rsidRPr="002E46E1">
        <w:rPr>
          <w:rFonts w:ascii="仿宋" w:eastAsia="仿宋" w:hAnsi="仿宋"/>
        </w:rPr>
        <w:t>董监高的</w:t>
      </w:r>
      <w:proofErr w:type="gramEnd"/>
      <w:r w:rsidR="002722FD" w:rsidRPr="002E46E1">
        <w:rPr>
          <w:rFonts w:ascii="仿宋" w:eastAsia="仿宋" w:hAnsi="仿宋"/>
        </w:rPr>
        <w:t>法定义务。上市公司</w:t>
      </w:r>
      <w:proofErr w:type="gramStart"/>
      <w:r w:rsidR="002722FD" w:rsidRPr="002E46E1">
        <w:rPr>
          <w:rFonts w:ascii="仿宋" w:eastAsia="仿宋" w:hAnsi="仿宋"/>
        </w:rPr>
        <w:t>董监高对</w:t>
      </w:r>
      <w:proofErr w:type="gramEnd"/>
      <w:r w:rsidR="002722FD" w:rsidRPr="002E46E1">
        <w:rPr>
          <w:rFonts w:ascii="仿宋" w:eastAsia="仿宋" w:hAnsi="仿宋"/>
        </w:rPr>
        <w:t>年度报告内容行使异议权，并不当然免除其勤勉尽责义务。</w:t>
      </w:r>
      <w:r w:rsidR="006F073E">
        <w:rPr>
          <w:rFonts w:ascii="仿宋" w:eastAsia="仿宋" w:hAnsi="仿宋" w:hint="eastAsia"/>
        </w:rPr>
        <w:t>若</w:t>
      </w:r>
      <w:r w:rsidRPr="002E46E1">
        <w:rPr>
          <w:rFonts w:ascii="仿宋" w:eastAsia="仿宋" w:hAnsi="仿宋"/>
        </w:rPr>
        <w:t>一家上市公司的</w:t>
      </w:r>
      <w:proofErr w:type="gramStart"/>
      <w:r w:rsidRPr="002E46E1">
        <w:rPr>
          <w:rFonts w:ascii="仿宋" w:eastAsia="仿宋" w:hAnsi="仿宋"/>
        </w:rPr>
        <w:t>多数董监高</w:t>
      </w:r>
      <w:proofErr w:type="gramEnd"/>
      <w:r w:rsidRPr="002E46E1">
        <w:rPr>
          <w:rFonts w:ascii="仿宋" w:eastAsia="仿宋" w:hAnsi="仿宋"/>
        </w:rPr>
        <w:t>无法承担保证责任时，勤勉尽责的表现应该是多数董事努力去编制并审议通过一份愿意承担保证责任的报告，而不是</w:t>
      </w:r>
      <w:r w:rsidR="002722FD">
        <w:rPr>
          <w:rFonts w:ascii="仿宋" w:eastAsia="仿宋" w:hAnsi="仿宋"/>
        </w:rPr>
        <w:t>发布一份无法承担责任的报告。</w:t>
      </w:r>
    </w:p>
    <w:p w:rsidR="008355F1" w:rsidRPr="002E46E1" w:rsidRDefault="008355F1" w:rsidP="002E46E1">
      <w:pPr>
        <w:jc w:val="center"/>
        <w:rPr>
          <w:rFonts w:ascii="黑体" w:eastAsia="黑体" w:hAnsi="黑体"/>
          <w:bCs/>
        </w:rPr>
      </w:pPr>
      <w:r w:rsidRPr="002E46E1">
        <w:rPr>
          <w:rFonts w:ascii="黑体" w:eastAsia="黑体" w:hAnsi="黑体"/>
          <w:bCs/>
        </w:rPr>
        <w:t>证券民事赔偿代表人诉讼</w:t>
      </w:r>
    </w:p>
    <w:p w:rsidR="00974D07" w:rsidRDefault="00974D07" w:rsidP="008355F1">
      <w:pPr>
        <w:ind w:firstLineChars="200" w:firstLine="420"/>
        <w:rPr>
          <w:rFonts w:ascii="仿宋" w:eastAsia="仿宋" w:hAnsi="仿宋" w:hint="eastAsia"/>
        </w:rPr>
      </w:pPr>
      <w:r w:rsidRPr="002E46E1">
        <w:rPr>
          <w:rFonts w:ascii="仿宋" w:eastAsia="仿宋" w:hAnsi="仿宋"/>
        </w:rPr>
        <w:t>《证券法》第九十五条进一步完善了证券民事赔偿诉讼中的代表人诉讼制度。</w:t>
      </w:r>
    </w:p>
    <w:p w:rsidR="006F073E" w:rsidRDefault="008355F1" w:rsidP="008355F1">
      <w:pPr>
        <w:ind w:firstLineChars="200" w:firstLine="420"/>
        <w:rPr>
          <w:rFonts w:ascii="仿宋" w:eastAsia="仿宋" w:hAnsi="仿宋" w:hint="eastAsia"/>
        </w:rPr>
      </w:pPr>
      <w:r w:rsidRPr="002E46E1">
        <w:rPr>
          <w:rFonts w:ascii="仿宋" w:eastAsia="仿宋" w:hAnsi="仿宋" w:hint="eastAsia"/>
        </w:rPr>
        <w:t>2017年8月</w:t>
      </w:r>
      <w:r w:rsidR="00DF2638">
        <w:rPr>
          <w:rFonts w:ascii="仿宋" w:eastAsia="仿宋" w:hAnsi="仿宋" w:hint="eastAsia"/>
        </w:rPr>
        <w:t>，</w:t>
      </w:r>
      <w:r w:rsidRPr="002E46E1">
        <w:rPr>
          <w:rFonts w:ascii="仿宋" w:eastAsia="仿宋" w:hAnsi="仿宋" w:hint="eastAsia"/>
        </w:rPr>
        <w:t>WYJS</w:t>
      </w:r>
      <w:r w:rsidR="002722FD">
        <w:rPr>
          <w:rFonts w:ascii="仿宋" w:eastAsia="仿宋" w:hAnsi="仿宋" w:hint="eastAsia"/>
        </w:rPr>
        <w:t>公司</w:t>
      </w:r>
      <w:r w:rsidRPr="002E46E1">
        <w:rPr>
          <w:rFonts w:ascii="仿宋" w:eastAsia="仿宋" w:hAnsi="仿宋" w:hint="eastAsia"/>
        </w:rPr>
        <w:t>两期“小公募债”构成实质违约，债券总额达13.6亿元。2018年8月，证监会</w:t>
      </w:r>
      <w:r w:rsidR="00DF2638" w:rsidRPr="002E46E1">
        <w:rPr>
          <w:rFonts w:ascii="仿宋" w:eastAsia="仿宋" w:hAnsi="仿宋" w:hint="eastAsia"/>
        </w:rPr>
        <w:t>做出行政处罚</w:t>
      </w:r>
      <w:r w:rsidR="00DF2638">
        <w:rPr>
          <w:rFonts w:ascii="仿宋" w:eastAsia="仿宋" w:hAnsi="仿宋" w:hint="eastAsia"/>
        </w:rPr>
        <w:t>，</w:t>
      </w:r>
      <w:r w:rsidRPr="002E46E1">
        <w:rPr>
          <w:rFonts w:ascii="仿宋" w:eastAsia="仿宋" w:hAnsi="仿宋" w:hint="eastAsia"/>
        </w:rPr>
        <w:t>认定WYJS存在债券欺诈发行行为。2019年5月，首批投资者在杭州中院对WYJS</w:t>
      </w:r>
      <w:proofErr w:type="gramStart"/>
      <w:r w:rsidRPr="002E46E1">
        <w:rPr>
          <w:rFonts w:ascii="仿宋" w:eastAsia="仿宋" w:hAnsi="仿宋" w:hint="eastAsia"/>
        </w:rPr>
        <w:t>及其实控</w:t>
      </w:r>
      <w:proofErr w:type="gramEnd"/>
      <w:r w:rsidRPr="002E46E1">
        <w:rPr>
          <w:rFonts w:ascii="仿宋" w:eastAsia="仿宋" w:hAnsi="仿宋" w:hint="eastAsia"/>
        </w:rPr>
        <w:t>人、承销商等中介机构提起证券虚假陈述民事诉讼。2020年3月13日，杭州中级人民法院发出公告，通知相关自然人权利人(不含机构投资者)自本公告发出之日起30日内向本院登记。</w:t>
      </w:r>
    </w:p>
    <w:p w:rsidR="008355F1" w:rsidRPr="002E46E1" w:rsidRDefault="008355F1" w:rsidP="008355F1">
      <w:pPr>
        <w:ind w:firstLineChars="200" w:firstLine="420"/>
        <w:rPr>
          <w:rFonts w:ascii="仿宋" w:eastAsia="仿宋" w:hAnsi="仿宋"/>
        </w:rPr>
      </w:pPr>
      <w:r w:rsidRPr="002E46E1">
        <w:rPr>
          <w:rFonts w:ascii="仿宋" w:eastAsia="仿宋" w:hAnsi="仿宋" w:hint="eastAsia"/>
        </w:rPr>
        <w:t>本案由此成为</w:t>
      </w:r>
      <w:r w:rsidR="007035DC">
        <w:rPr>
          <w:rFonts w:ascii="仿宋" w:eastAsia="仿宋" w:hAnsi="仿宋" w:hint="eastAsia"/>
        </w:rPr>
        <w:t>新</w:t>
      </w:r>
      <w:r w:rsidRPr="002E46E1">
        <w:rPr>
          <w:rFonts w:ascii="仿宋" w:eastAsia="仿宋" w:hAnsi="仿宋" w:hint="eastAsia"/>
        </w:rPr>
        <w:t>《证券法》实施以来，代表人诉讼在证券民事赔偿诉讼领域的首次司法实践。</w:t>
      </w:r>
      <w:r w:rsidRPr="002E46E1">
        <w:rPr>
          <w:rFonts w:ascii="仿宋" w:eastAsia="仿宋" w:hAnsi="仿宋"/>
        </w:rPr>
        <w:t>此后，上海金融法院、深圳市中院、南京市中院相继出台了更具操作性的配套规定。</w:t>
      </w:r>
    </w:p>
    <w:p w:rsidR="008355F1" w:rsidRPr="002E46E1" w:rsidRDefault="008355F1" w:rsidP="002E46E1">
      <w:pPr>
        <w:jc w:val="center"/>
        <w:rPr>
          <w:rFonts w:ascii="黑体" w:eastAsia="黑体" w:hAnsi="黑体"/>
          <w:bCs/>
        </w:rPr>
      </w:pPr>
      <w:r w:rsidRPr="002E46E1">
        <w:rPr>
          <w:rFonts w:ascii="黑体" w:eastAsia="黑体" w:hAnsi="黑体"/>
          <w:bCs/>
        </w:rPr>
        <w:t>聘任无证券期货从业资格的会计师事务所</w:t>
      </w:r>
    </w:p>
    <w:p w:rsidR="00DF2638" w:rsidRPr="002E46E1" w:rsidRDefault="006F073E" w:rsidP="00DF2638">
      <w:pPr>
        <w:ind w:firstLineChars="200" w:firstLine="420"/>
        <w:rPr>
          <w:rFonts w:ascii="仿宋" w:eastAsia="仿宋" w:hAnsi="仿宋"/>
        </w:rPr>
      </w:pPr>
      <w:r>
        <w:rPr>
          <w:rFonts w:ascii="仿宋" w:eastAsia="仿宋" w:hAnsi="仿宋" w:hint="eastAsia"/>
        </w:rPr>
        <w:t>新</w:t>
      </w:r>
      <w:r w:rsidR="00DF2638" w:rsidRPr="002E46E1">
        <w:rPr>
          <w:rFonts w:ascii="仿宋" w:eastAsia="仿宋" w:hAnsi="仿宋"/>
        </w:rPr>
        <w:t>《证券法》第一百六十条第（二）款规定，除证券投资咨询业务外，经报有关主管部门备案后，会计师事务所、律师事务所和其他证券服务机构即可应按照相关业务规则为证券的交易及相关活动提供资产评估、资信评级、财务顾问、信息技术系统等服务。</w:t>
      </w:r>
    </w:p>
    <w:p w:rsidR="008355F1" w:rsidRPr="002E46E1" w:rsidRDefault="008355F1" w:rsidP="008355F1">
      <w:pPr>
        <w:ind w:firstLineChars="200" w:firstLine="420"/>
        <w:rPr>
          <w:rFonts w:ascii="仿宋" w:eastAsia="仿宋" w:hAnsi="仿宋"/>
        </w:rPr>
      </w:pPr>
      <w:r w:rsidRPr="002E46E1">
        <w:rPr>
          <w:rFonts w:ascii="仿宋" w:eastAsia="仿宋" w:hAnsi="仿宋"/>
        </w:rPr>
        <w:t>2020年3月27日，上市公司*ST XY披露公告称，拟聘任SZTT会计师事务所作为公司2019年财务报告和内部控制审计机构。</w:t>
      </w:r>
    </w:p>
    <w:p w:rsidR="006F073E" w:rsidRDefault="008355F1" w:rsidP="008355F1">
      <w:pPr>
        <w:ind w:firstLineChars="200" w:firstLine="420"/>
        <w:rPr>
          <w:rFonts w:ascii="仿宋" w:eastAsia="仿宋" w:hAnsi="仿宋" w:hint="eastAsia"/>
        </w:rPr>
      </w:pPr>
      <w:r w:rsidRPr="002E46E1">
        <w:rPr>
          <w:rFonts w:ascii="仿宋" w:eastAsia="仿宋" w:hAnsi="仿宋"/>
        </w:rPr>
        <w:t>公告显示SZTT收入规模较小，人数较少，</w:t>
      </w:r>
      <w:r w:rsidR="00DF2638">
        <w:rPr>
          <w:rFonts w:ascii="仿宋" w:eastAsia="仿宋" w:hAnsi="仿宋" w:hint="eastAsia"/>
        </w:rPr>
        <w:t>无</w:t>
      </w:r>
      <w:r w:rsidRPr="002E46E1">
        <w:rPr>
          <w:rFonts w:ascii="仿宋" w:eastAsia="仿宋" w:hAnsi="仿宋"/>
        </w:rPr>
        <w:t>证券服务经验，由此引发市场舆论及监管部门关注，交易所先后发出三份问询函和一份监管关注函。焦点问题主要包括：1</w:t>
      </w:r>
      <w:r w:rsidR="00DF2638">
        <w:rPr>
          <w:rFonts w:ascii="仿宋" w:eastAsia="仿宋" w:hAnsi="仿宋" w:hint="eastAsia"/>
        </w:rPr>
        <w:t>.</w:t>
      </w:r>
      <w:r w:rsidRPr="002E46E1">
        <w:rPr>
          <w:rFonts w:ascii="仿宋" w:eastAsia="仿宋" w:hAnsi="仿宋"/>
        </w:rPr>
        <w:t>SZTT是否具备专业能力胜任上市公司审计工作；2</w:t>
      </w:r>
      <w:r w:rsidR="00DF2638">
        <w:rPr>
          <w:rFonts w:ascii="仿宋" w:eastAsia="仿宋" w:hAnsi="仿宋" w:hint="eastAsia"/>
        </w:rPr>
        <w:t>.</w:t>
      </w:r>
      <w:r w:rsidRPr="002E46E1">
        <w:rPr>
          <w:rFonts w:ascii="仿宋" w:eastAsia="仿宋" w:hAnsi="仿宋"/>
        </w:rPr>
        <w:t>SZTT是否具备承担连带赔偿责任的能力；3</w:t>
      </w:r>
      <w:r w:rsidR="00DF2638">
        <w:rPr>
          <w:rFonts w:ascii="仿宋" w:eastAsia="仿宋" w:hAnsi="仿宋" w:hint="eastAsia"/>
        </w:rPr>
        <w:t>.</w:t>
      </w:r>
      <w:r w:rsidRPr="002E46E1">
        <w:rPr>
          <w:rFonts w:ascii="仿宋" w:eastAsia="仿宋" w:hAnsi="仿宋"/>
        </w:rPr>
        <w:t>拟签字注册会计师在尚未正式入职的情况下即承接项目并进场开展工作，是否符合相关规定。</w:t>
      </w:r>
    </w:p>
    <w:p w:rsidR="008355F1" w:rsidRPr="002E46E1" w:rsidRDefault="008355F1" w:rsidP="008355F1">
      <w:pPr>
        <w:ind w:firstLineChars="200" w:firstLine="420"/>
        <w:rPr>
          <w:rFonts w:ascii="仿宋" w:eastAsia="仿宋" w:hAnsi="仿宋"/>
        </w:rPr>
      </w:pPr>
      <w:r w:rsidRPr="002E46E1">
        <w:rPr>
          <w:rFonts w:ascii="仿宋" w:eastAsia="仿宋" w:hAnsi="仿宋"/>
        </w:rPr>
        <w:lastRenderedPageBreak/>
        <w:t>截至6月9日，聘任仍未有最终结果，*ST XY已延期披露2019年年度报告和2020年第一季度报告，证监会决定立案调查。</w:t>
      </w:r>
    </w:p>
    <w:p w:rsidR="008355F1" w:rsidRDefault="008355F1" w:rsidP="008355F1">
      <w:pPr>
        <w:ind w:firstLineChars="200" w:firstLine="420"/>
        <w:rPr>
          <w:rFonts w:ascii="仿宋" w:eastAsia="仿宋" w:hAnsi="仿宋" w:hint="eastAsia"/>
        </w:rPr>
      </w:pPr>
      <w:r w:rsidRPr="002E46E1">
        <w:rPr>
          <w:rFonts w:ascii="仿宋" w:eastAsia="仿宋" w:hAnsi="仿宋"/>
        </w:rPr>
        <w:t>本案是在新</w:t>
      </w:r>
      <w:r w:rsidR="006F073E">
        <w:rPr>
          <w:rFonts w:ascii="仿宋" w:eastAsia="仿宋" w:hAnsi="仿宋"/>
        </w:rPr>
        <w:t>《</w:t>
      </w:r>
      <w:r w:rsidRPr="002E46E1">
        <w:rPr>
          <w:rFonts w:ascii="仿宋" w:eastAsia="仿宋" w:hAnsi="仿宋"/>
        </w:rPr>
        <w:t>证券法</w:t>
      </w:r>
      <w:r w:rsidR="006F073E">
        <w:rPr>
          <w:rFonts w:ascii="仿宋" w:eastAsia="仿宋" w:hAnsi="仿宋"/>
        </w:rPr>
        <w:t>》</w:t>
      </w:r>
      <w:r w:rsidRPr="002E46E1">
        <w:rPr>
          <w:rFonts w:ascii="仿宋" w:eastAsia="仿宋" w:hAnsi="仿宋"/>
        </w:rPr>
        <w:t>取消会计师事务所从事证券业务资格限制后，上市公司聘任此前无证券期货资格的会计师担任年报审计会计师</w:t>
      </w:r>
      <w:proofErr w:type="gramStart"/>
      <w:r w:rsidRPr="002E46E1">
        <w:rPr>
          <w:rFonts w:ascii="仿宋" w:eastAsia="仿宋" w:hAnsi="仿宋"/>
        </w:rPr>
        <w:t>的首单案例</w:t>
      </w:r>
      <w:proofErr w:type="gramEnd"/>
      <w:r w:rsidRPr="002E46E1">
        <w:rPr>
          <w:rFonts w:ascii="仿宋" w:eastAsia="仿宋" w:hAnsi="仿宋"/>
        </w:rPr>
        <w:t>。证券法放宽对部分证券服务业务的准入条件，取消中介机构从业资格的事前审批，</w:t>
      </w:r>
      <w:r w:rsidR="006F073E">
        <w:rPr>
          <w:rFonts w:ascii="仿宋" w:eastAsia="仿宋" w:hAnsi="仿宋" w:hint="eastAsia"/>
        </w:rPr>
        <w:t>但</w:t>
      </w:r>
      <w:r w:rsidR="006F073E">
        <w:rPr>
          <w:rFonts w:ascii="仿宋" w:eastAsia="仿宋" w:hAnsi="仿宋"/>
        </w:rPr>
        <w:t>未</w:t>
      </w:r>
      <w:r w:rsidRPr="002E46E1">
        <w:rPr>
          <w:rFonts w:ascii="仿宋" w:eastAsia="仿宋" w:hAnsi="仿宋"/>
        </w:rPr>
        <w:t>降低对中介机构专业服务质量的要求。沪深交易所发布的上市公司聘任会计师信息披露格式指引，要求公司充分披露拟聘任的机构信息、人员信息、业务信息、执业信息、诚信记录等，提醒上市公司选聘中介机构时，应从上述方面关注对方的专业能力和履约能力。</w:t>
      </w:r>
      <w:bookmarkStart w:id="0" w:name="_GoBack"/>
      <w:bookmarkEnd w:id="0"/>
    </w:p>
    <w:p w:rsidR="00DF2638" w:rsidRDefault="00DF2638" w:rsidP="008355F1">
      <w:pPr>
        <w:ind w:firstLineChars="200" w:firstLine="420"/>
        <w:rPr>
          <w:rFonts w:ascii="仿宋" w:eastAsia="仿宋" w:hAnsi="仿宋" w:hint="eastAsia"/>
        </w:rPr>
      </w:pPr>
    </w:p>
    <w:p w:rsidR="00DF2638" w:rsidRDefault="00DF2638" w:rsidP="008355F1">
      <w:pPr>
        <w:ind w:firstLineChars="200" w:firstLine="420"/>
        <w:rPr>
          <w:rFonts w:ascii="仿宋" w:eastAsia="仿宋" w:hAnsi="仿宋" w:hint="eastAsia"/>
        </w:rPr>
      </w:pPr>
    </w:p>
    <w:p w:rsidR="00DF2638" w:rsidRDefault="00DF2638" w:rsidP="008355F1">
      <w:pPr>
        <w:ind w:firstLineChars="200" w:firstLine="420"/>
        <w:rPr>
          <w:rFonts w:ascii="仿宋" w:eastAsia="仿宋" w:hAnsi="仿宋" w:hint="eastAsia"/>
        </w:rPr>
      </w:pPr>
    </w:p>
    <w:p w:rsidR="00DF2638" w:rsidRDefault="00DF2638" w:rsidP="00DF2638">
      <w:pPr>
        <w:ind w:firstLineChars="2900" w:firstLine="6090"/>
        <w:rPr>
          <w:rFonts w:ascii="仿宋" w:eastAsia="仿宋" w:hAnsi="仿宋" w:hint="eastAsia"/>
        </w:rPr>
      </w:pPr>
      <w:r>
        <w:rPr>
          <w:rFonts w:ascii="仿宋" w:eastAsia="仿宋" w:hAnsi="仿宋" w:hint="eastAsia"/>
        </w:rPr>
        <w:t>董事会办公室陆炜弘</w:t>
      </w:r>
    </w:p>
    <w:p w:rsidR="00DF2638" w:rsidRPr="002E46E1" w:rsidRDefault="00DF2638" w:rsidP="00DF2638">
      <w:pPr>
        <w:ind w:firstLineChars="3000" w:firstLine="6300"/>
        <w:rPr>
          <w:rFonts w:ascii="仿宋" w:eastAsia="仿宋" w:hAnsi="仿宋"/>
        </w:rPr>
      </w:pPr>
      <w:r>
        <w:rPr>
          <w:rFonts w:ascii="仿宋" w:eastAsia="仿宋" w:hAnsi="仿宋" w:hint="eastAsia"/>
        </w:rPr>
        <w:t>2020年6月11日</w:t>
      </w:r>
    </w:p>
    <w:p w:rsidR="008355F1" w:rsidRPr="002E46E1" w:rsidRDefault="008355F1" w:rsidP="008355F1">
      <w:pPr>
        <w:ind w:firstLineChars="200" w:firstLine="420"/>
        <w:rPr>
          <w:rFonts w:ascii="仿宋" w:eastAsia="仿宋" w:hAnsi="仿宋"/>
        </w:rPr>
      </w:pPr>
    </w:p>
    <w:sectPr w:rsidR="008355F1" w:rsidRPr="002E46E1">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6BE" w:rsidRDefault="00D756BE" w:rsidP="00DF2638">
      <w:r>
        <w:separator/>
      </w:r>
    </w:p>
  </w:endnote>
  <w:endnote w:type="continuationSeparator" w:id="0">
    <w:p w:rsidR="00D756BE" w:rsidRDefault="00D756BE" w:rsidP="00DF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yahei">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1310142"/>
      <w:docPartObj>
        <w:docPartGallery w:val="Page Numbers (Bottom of Page)"/>
        <w:docPartUnique/>
      </w:docPartObj>
    </w:sdtPr>
    <w:sdtContent>
      <w:p w:rsidR="00DF2638" w:rsidRDefault="00DF2638">
        <w:pPr>
          <w:pStyle w:val="a5"/>
          <w:jc w:val="center"/>
        </w:pPr>
        <w:r>
          <w:fldChar w:fldCharType="begin"/>
        </w:r>
        <w:r>
          <w:instrText>PAGE   \* MERGEFORMAT</w:instrText>
        </w:r>
        <w:r>
          <w:fldChar w:fldCharType="separate"/>
        </w:r>
        <w:r w:rsidR="006F073E" w:rsidRPr="006F073E">
          <w:rPr>
            <w:noProof/>
            <w:lang w:val="zh-CN"/>
          </w:rPr>
          <w:t>1</w:t>
        </w:r>
        <w:r>
          <w:fldChar w:fldCharType="end"/>
        </w:r>
      </w:p>
    </w:sdtContent>
  </w:sdt>
  <w:p w:rsidR="00DF2638" w:rsidRDefault="00DF263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6BE" w:rsidRDefault="00D756BE" w:rsidP="00DF2638">
      <w:r>
        <w:separator/>
      </w:r>
    </w:p>
  </w:footnote>
  <w:footnote w:type="continuationSeparator" w:id="0">
    <w:p w:rsidR="00D756BE" w:rsidRDefault="00D756BE" w:rsidP="00DF26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7F3"/>
    <w:rsid w:val="00167089"/>
    <w:rsid w:val="002722FD"/>
    <w:rsid w:val="002E46E1"/>
    <w:rsid w:val="003744F7"/>
    <w:rsid w:val="004E7849"/>
    <w:rsid w:val="005B540F"/>
    <w:rsid w:val="005D0DD4"/>
    <w:rsid w:val="00640E22"/>
    <w:rsid w:val="006550CE"/>
    <w:rsid w:val="0066714D"/>
    <w:rsid w:val="006F073E"/>
    <w:rsid w:val="007035DC"/>
    <w:rsid w:val="00703CD9"/>
    <w:rsid w:val="007D0A12"/>
    <w:rsid w:val="008355F1"/>
    <w:rsid w:val="00902EC0"/>
    <w:rsid w:val="009724CA"/>
    <w:rsid w:val="00974D07"/>
    <w:rsid w:val="009923ED"/>
    <w:rsid w:val="009D4472"/>
    <w:rsid w:val="00A67B15"/>
    <w:rsid w:val="00B260FE"/>
    <w:rsid w:val="00B70011"/>
    <w:rsid w:val="00BD2F5C"/>
    <w:rsid w:val="00D756BE"/>
    <w:rsid w:val="00D777F3"/>
    <w:rsid w:val="00DF2638"/>
    <w:rsid w:val="00E01FF4"/>
    <w:rsid w:val="00EB178E"/>
    <w:rsid w:val="00EC7549"/>
    <w:rsid w:val="00ED78E7"/>
    <w:rsid w:val="00F15F99"/>
    <w:rsid w:val="00F8650C"/>
    <w:rsid w:val="00FD04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7F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355F1"/>
    <w:rPr>
      <w:b/>
      <w:bCs/>
    </w:rPr>
  </w:style>
  <w:style w:type="paragraph" w:styleId="a4">
    <w:name w:val="header"/>
    <w:basedOn w:val="a"/>
    <w:link w:val="Char"/>
    <w:uiPriority w:val="99"/>
    <w:unhideWhenUsed/>
    <w:rsid w:val="00DF263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F2638"/>
    <w:rPr>
      <w:sz w:val="18"/>
      <w:szCs w:val="18"/>
    </w:rPr>
  </w:style>
  <w:style w:type="paragraph" w:styleId="a5">
    <w:name w:val="footer"/>
    <w:basedOn w:val="a"/>
    <w:link w:val="Char0"/>
    <w:uiPriority w:val="99"/>
    <w:unhideWhenUsed/>
    <w:rsid w:val="00DF2638"/>
    <w:pPr>
      <w:tabs>
        <w:tab w:val="center" w:pos="4153"/>
        <w:tab w:val="right" w:pos="8306"/>
      </w:tabs>
      <w:snapToGrid w:val="0"/>
      <w:jc w:val="left"/>
    </w:pPr>
    <w:rPr>
      <w:sz w:val="18"/>
      <w:szCs w:val="18"/>
    </w:rPr>
  </w:style>
  <w:style w:type="character" w:customStyle="1" w:styleId="Char0">
    <w:name w:val="页脚 Char"/>
    <w:basedOn w:val="a0"/>
    <w:link w:val="a5"/>
    <w:uiPriority w:val="99"/>
    <w:rsid w:val="00DF263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7F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355F1"/>
    <w:rPr>
      <w:b/>
      <w:bCs/>
    </w:rPr>
  </w:style>
  <w:style w:type="paragraph" w:styleId="a4">
    <w:name w:val="header"/>
    <w:basedOn w:val="a"/>
    <w:link w:val="Char"/>
    <w:uiPriority w:val="99"/>
    <w:unhideWhenUsed/>
    <w:rsid w:val="00DF263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F2638"/>
    <w:rPr>
      <w:sz w:val="18"/>
      <w:szCs w:val="18"/>
    </w:rPr>
  </w:style>
  <w:style w:type="paragraph" w:styleId="a5">
    <w:name w:val="footer"/>
    <w:basedOn w:val="a"/>
    <w:link w:val="Char0"/>
    <w:uiPriority w:val="99"/>
    <w:unhideWhenUsed/>
    <w:rsid w:val="00DF2638"/>
    <w:pPr>
      <w:tabs>
        <w:tab w:val="center" w:pos="4153"/>
        <w:tab w:val="right" w:pos="8306"/>
      </w:tabs>
      <w:snapToGrid w:val="0"/>
      <w:jc w:val="left"/>
    </w:pPr>
    <w:rPr>
      <w:sz w:val="18"/>
      <w:szCs w:val="18"/>
    </w:rPr>
  </w:style>
  <w:style w:type="character" w:customStyle="1" w:styleId="Char0">
    <w:name w:val="页脚 Char"/>
    <w:basedOn w:val="a0"/>
    <w:link w:val="a5"/>
    <w:uiPriority w:val="99"/>
    <w:rsid w:val="00DF263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445996">
      <w:bodyDiv w:val="1"/>
      <w:marLeft w:val="0"/>
      <w:marRight w:val="0"/>
      <w:marTop w:val="0"/>
      <w:marBottom w:val="0"/>
      <w:divBdr>
        <w:top w:val="none" w:sz="0" w:space="0" w:color="auto"/>
        <w:left w:val="none" w:sz="0" w:space="0" w:color="auto"/>
        <w:bottom w:val="none" w:sz="0" w:space="0" w:color="auto"/>
        <w:right w:val="none" w:sz="0" w:space="0" w:color="auto"/>
      </w:divBdr>
    </w:div>
    <w:div w:id="1248148750">
      <w:bodyDiv w:val="1"/>
      <w:marLeft w:val="0"/>
      <w:marRight w:val="0"/>
      <w:marTop w:val="0"/>
      <w:marBottom w:val="0"/>
      <w:divBdr>
        <w:top w:val="none" w:sz="0" w:space="0" w:color="auto"/>
        <w:left w:val="none" w:sz="0" w:space="0" w:color="auto"/>
        <w:bottom w:val="none" w:sz="0" w:space="0" w:color="auto"/>
        <w:right w:val="none" w:sz="0" w:space="0" w:color="auto"/>
      </w:divBdr>
    </w:div>
    <w:div w:id="1569414833">
      <w:bodyDiv w:val="1"/>
      <w:marLeft w:val="0"/>
      <w:marRight w:val="0"/>
      <w:marTop w:val="0"/>
      <w:marBottom w:val="0"/>
      <w:divBdr>
        <w:top w:val="none" w:sz="0" w:space="0" w:color="auto"/>
        <w:left w:val="none" w:sz="0" w:space="0" w:color="auto"/>
        <w:bottom w:val="none" w:sz="0" w:space="0" w:color="auto"/>
        <w:right w:val="none" w:sz="0" w:space="0" w:color="auto"/>
      </w:divBdr>
    </w:div>
    <w:div w:id="1782723838">
      <w:bodyDiv w:val="1"/>
      <w:marLeft w:val="0"/>
      <w:marRight w:val="0"/>
      <w:marTop w:val="0"/>
      <w:marBottom w:val="0"/>
      <w:divBdr>
        <w:top w:val="none" w:sz="0" w:space="0" w:color="auto"/>
        <w:left w:val="none" w:sz="0" w:space="0" w:color="auto"/>
        <w:bottom w:val="none" w:sz="0" w:space="0" w:color="auto"/>
        <w:right w:val="none" w:sz="0" w:space="0" w:color="auto"/>
      </w:divBdr>
    </w:div>
    <w:div w:id="1930655435">
      <w:bodyDiv w:val="1"/>
      <w:marLeft w:val="0"/>
      <w:marRight w:val="0"/>
      <w:marTop w:val="0"/>
      <w:marBottom w:val="0"/>
      <w:divBdr>
        <w:top w:val="none" w:sz="0" w:space="0" w:color="auto"/>
        <w:left w:val="none" w:sz="0" w:space="0" w:color="auto"/>
        <w:bottom w:val="none" w:sz="0" w:space="0" w:color="auto"/>
        <w:right w:val="none" w:sz="0" w:space="0" w:color="auto"/>
      </w:divBdr>
    </w:div>
    <w:div w:id="2063212575">
      <w:bodyDiv w:val="1"/>
      <w:marLeft w:val="0"/>
      <w:marRight w:val="0"/>
      <w:marTop w:val="0"/>
      <w:marBottom w:val="0"/>
      <w:divBdr>
        <w:top w:val="none" w:sz="0" w:space="0" w:color="auto"/>
        <w:left w:val="none" w:sz="0" w:space="0" w:color="auto"/>
        <w:bottom w:val="none" w:sz="0" w:space="0" w:color="auto"/>
        <w:right w:val="none" w:sz="0" w:space="0" w:color="auto"/>
      </w:divBdr>
    </w:div>
    <w:div w:id="21158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1</Pages>
  <Words>472</Words>
  <Characters>2695</Characters>
  <Application>Microsoft Office Word</Application>
  <DocSecurity>0</DocSecurity>
  <Lines>22</Lines>
  <Paragraphs>6</Paragraphs>
  <ScaleCrop>false</ScaleCrop>
  <Company/>
  <LinksUpToDate>false</LinksUpToDate>
  <CharactersWithSpaces>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陆炜弘</dc:creator>
  <cp:lastModifiedBy>陆炜弘</cp:lastModifiedBy>
  <cp:revision>34</cp:revision>
  <dcterms:created xsi:type="dcterms:W3CDTF">2020-06-10T02:11:00Z</dcterms:created>
  <dcterms:modified xsi:type="dcterms:W3CDTF">2020-06-11T02:14:00Z</dcterms:modified>
</cp:coreProperties>
</file>