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CA1" w:rsidRDefault="00163CA1" w:rsidP="00DD2FAB">
      <w:pPr>
        <w:jc w:val="center"/>
        <w:rPr>
          <w:rFonts w:ascii="微软雅黑" w:eastAsia="微软雅黑" w:hAnsi="微软雅黑"/>
          <w:b/>
          <w:bCs/>
          <w:color w:val="0C5CB1"/>
          <w:sz w:val="30"/>
          <w:szCs w:val="30"/>
        </w:rPr>
      </w:pPr>
    </w:p>
    <w:p w:rsidR="009B773C" w:rsidRDefault="00DD2FAB" w:rsidP="009B773C">
      <w:pPr>
        <w:jc w:val="center"/>
        <w:rPr>
          <w:rFonts w:ascii="微软雅黑" w:eastAsia="微软雅黑" w:hAnsi="微软雅黑"/>
          <w:b/>
          <w:bCs/>
          <w:color w:val="0C5CB1"/>
          <w:sz w:val="30"/>
          <w:szCs w:val="30"/>
        </w:rPr>
      </w:pPr>
      <w:r>
        <w:rPr>
          <w:rFonts w:ascii="微软雅黑" w:eastAsia="微软雅黑" w:hAnsi="微软雅黑" w:hint="eastAsia"/>
          <w:b/>
          <w:bCs/>
          <w:color w:val="0C5CB1"/>
          <w:sz w:val="30"/>
          <w:szCs w:val="30"/>
        </w:rPr>
        <w:t>“投资者保护·明规则、识风险”案例</w:t>
      </w:r>
    </w:p>
    <w:p w:rsidR="00795FEB" w:rsidRDefault="009852E0" w:rsidP="009B773C">
      <w:pPr>
        <w:jc w:val="center"/>
        <w:rPr>
          <w:rFonts w:ascii="微软雅黑" w:eastAsia="微软雅黑" w:hAnsi="微软雅黑"/>
          <w:b/>
          <w:bCs/>
          <w:color w:val="0C5CB1"/>
          <w:sz w:val="30"/>
          <w:szCs w:val="30"/>
        </w:rPr>
      </w:pPr>
      <w:r>
        <w:rPr>
          <w:rFonts w:ascii="微软雅黑" w:eastAsia="微软雅黑" w:hAnsi="微软雅黑" w:hint="eastAsia"/>
          <w:b/>
          <w:bCs/>
          <w:color w:val="0C5CB1"/>
          <w:sz w:val="30"/>
          <w:szCs w:val="30"/>
        </w:rPr>
        <w:t>——“枕边风”炒股票当心被处罚</w:t>
      </w:r>
    </w:p>
    <w:p w:rsidR="00DD2FAB" w:rsidRDefault="00DD2FAB" w:rsidP="00DD2FAB">
      <w:pPr>
        <w:jc w:val="center"/>
        <w:rPr>
          <w:rFonts w:ascii="微软雅黑" w:eastAsia="微软雅黑" w:hAnsi="微软雅黑"/>
          <w:b/>
          <w:bCs/>
          <w:color w:val="0C5CB1"/>
          <w:sz w:val="30"/>
          <w:szCs w:val="30"/>
        </w:rPr>
      </w:pPr>
    </w:p>
    <w:p w:rsidR="009852E0" w:rsidRPr="009852E0" w:rsidRDefault="009852E0" w:rsidP="009852E0">
      <w:pPr>
        <w:ind w:firstLineChars="200" w:firstLine="560"/>
        <w:jc w:val="left"/>
        <w:rPr>
          <w:sz w:val="28"/>
          <w:szCs w:val="28"/>
        </w:rPr>
      </w:pPr>
      <w:r w:rsidRPr="009852E0">
        <w:rPr>
          <w:rFonts w:hint="eastAsia"/>
          <w:sz w:val="28"/>
          <w:szCs w:val="28"/>
        </w:rPr>
        <w:t>内幕交易是指证券交易内幕信息的知情人和非法获取内幕信息的人在内幕信息公开前，买卖该证券，或者泄露该信息，或者建议他人买卖该证券的违法行为，在实践中具有多种表现形式，“枕边风”内幕交易便是其中一种。比如下面这两个小故事：</w:t>
      </w:r>
    </w:p>
    <w:p w:rsidR="009852E0" w:rsidRPr="009852E0" w:rsidRDefault="009852E0" w:rsidP="009852E0">
      <w:pPr>
        <w:ind w:firstLineChars="200" w:firstLine="560"/>
        <w:jc w:val="left"/>
        <w:rPr>
          <w:sz w:val="28"/>
          <w:szCs w:val="28"/>
        </w:rPr>
      </w:pPr>
      <w:r w:rsidRPr="009852E0">
        <w:rPr>
          <w:rFonts w:hint="eastAsia"/>
          <w:sz w:val="28"/>
          <w:szCs w:val="28"/>
        </w:rPr>
        <w:t>上市公司</w:t>
      </w:r>
      <w:r w:rsidRPr="009852E0">
        <w:rPr>
          <w:rFonts w:hint="eastAsia"/>
          <w:sz w:val="28"/>
          <w:szCs w:val="28"/>
        </w:rPr>
        <w:t>H</w:t>
      </w:r>
      <w:r w:rsidRPr="009852E0">
        <w:rPr>
          <w:rFonts w:hint="eastAsia"/>
          <w:sz w:val="28"/>
          <w:szCs w:val="28"/>
        </w:rPr>
        <w:t>因</w:t>
      </w:r>
      <w:proofErr w:type="gramStart"/>
      <w:r w:rsidRPr="009852E0">
        <w:rPr>
          <w:rFonts w:hint="eastAsia"/>
          <w:sz w:val="28"/>
          <w:szCs w:val="28"/>
        </w:rPr>
        <w:t>筹划非</w:t>
      </w:r>
      <w:proofErr w:type="gramEnd"/>
      <w:r w:rsidRPr="009852E0">
        <w:rPr>
          <w:rFonts w:hint="eastAsia"/>
          <w:sz w:val="28"/>
          <w:szCs w:val="28"/>
        </w:rPr>
        <w:t>公开发行股票停牌，其控股股东</w:t>
      </w:r>
      <w:r w:rsidRPr="009852E0">
        <w:rPr>
          <w:rFonts w:hint="eastAsia"/>
          <w:sz w:val="28"/>
          <w:szCs w:val="28"/>
        </w:rPr>
        <w:t>Z</w:t>
      </w:r>
      <w:r w:rsidRPr="009852E0">
        <w:rPr>
          <w:rFonts w:hint="eastAsia"/>
          <w:sz w:val="28"/>
          <w:szCs w:val="28"/>
        </w:rPr>
        <w:t>公司董事臧某的妻子陈某在停牌前买入</w:t>
      </w:r>
      <w:r w:rsidRPr="009852E0">
        <w:rPr>
          <w:rFonts w:hint="eastAsia"/>
          <w:sz w:val="28"/>
          <w:szCs w:val="28"/>
        </w:rPr>
        <w:t>6</w:t>
      </w:r>
      <w:r w:rsidRPr="009852E0">
        <w:rPr>
          <w:rFonts w:hint="eastAsia"/>
          <w:sz w:val="28"/>
          <w:szCs w:val="28"/>
        </w:rPr>
        <w:t>万股“</w:t>
      </w:r>
      <w:r w:rsidRPr="009852E0">
        <w:rPr>
          <w:rFonts w:hint="eastAsia"/>
          <w:sz w:val="28"/>
          <w:szCs w:val="28"/>
        </w:rPr>
        <w:t>H</w:t>
      </w:r>
      <w:r w:rsidRPr="009852E0">
        <w:rPr>
          <w:rFonts w:hint="eastAsia"/>
          <w:sz w:val="28"/>
          <w:szCs w:val="28"/>
        </w:rPr>
        <w:t>”，卖出后获利</w:t>
      </w:r>
      <w:r w:rsidRPr="009852E0">
        <w:rPr>
          <w:rFonts w:hint="eastAsia"/>
          <w:sz w:val="28"/>
          <w:szCs w:val="28"/>
        </w:rPr>
        <w:t>7.3</w:t>
      </w:r>
      <w:r w:rsidRPr="009852E0">
        <w:rPr>
          <w:rFonts w:hint="eastAsia"/>
          <w:sz w:val="28"/>
          <w:szCs w:val="28"/>
        </w:rPr>
        <w:t>万元。</w:t>
      </w:r>
    </w:p>
    <w:p w:rsidR="009852E0" w:rsidRPr="009852E0" w:rsidRDefault="009852E0" w:rsidP="009852E0">
      <w:pPr>
        <w:ind w:firstLineChars="200" w:firstLine="560"/>
        <w:jc w:val="left"/>
        <w:rPr>
          <w:sz w:val="28"/>
          <w:szCs w:val="28"/>
        </w:rPr>
      </w:pPr>
      <w:r w:rsidRPr="009852E0">
        <w:rPr>
          <w:rFonts w:hint="eastAsia"/>
          <w:sz w:val="28"/>
          <w:szCs w:val="28"/>
        </w:rPr>
        <w:t>上市公司</w:t>
      </w:r>
      <w:r w:rsidRPr="009852E0">
        <w:rPr>
          <w:rFonts w:hint="eastAsia"/>
          <w:sz w:val="28"/>
          <w:szCs w:val="28"/>
        </w:rPr>
        <w:t>Y</w:t>
      </w:r>
      <w:r w:rsidRPr="009852E0">
        <w:rPr>
          <w:rFonts w:hint="eastAsia"/>
          <w:sz w:val="28"/>
          <w:szCs w:val="28"/>
        </w:rPr>
        <w:t>因</w:t>
      </w:r>
      <w:proofErr w:type="gramStart"/>
      <w:r w:rsidRPr="009852E0">
        <w:rPr>
          <w:rFonts w:hint="eastAsia"/>
          <w:sz w:val="28"/>
          <w:szCs w:val="28"/>
        </w:rPr>
        <w:t>筹划非</w:t>
      </w:r>
      <w:proofErr w:type="gramEnd"/>
      <w:r w:rsidRPr="009852E0">
        <w:rPr>
          <w:rFonts w:hint="eastAsia"/>
          <w:sz w:val="28"/>
          <w:szCs w:val="28"/>
        </w:rPr>
        <w:t>公开发行股票停牌，主办券商</w:t>
      </w:r>
      <w:r w:rsidRPr="009852E0">
        <w:rPr>
          <w:rFonts w:hint="eastAsia"/>
          <w:sz w:val="28"/>
          <w:szCs w:val="28"/>
        </w:rPr>
        <w:t>Z</w:t>
      </w:r>
      <w:r w:rsidRPr="009852E0">
        <w:rPr>
          <w:rFonts w:hint="eastAsia"/>
          <w:sz w:val="28"/>
          <w:szCs w:val="28"/>
        </w:rPr>
        <w:t>证券工作人员余某的妻子叶某在停牌前买入</w:t>
      </w:r>
      <w:r w:rsidRPr="009852E0">
        <w:rPr>
          <w:rFonts w:hint="eastAsia"/>
          <w:sz w:val="28"/>
          <w:szCs w:val="28"/>
        </w:rPr>
        <w:t>1.3</w:t>
      </w:r>
      <w:r w:rsidRPr="009852E0">
        <w:rPr>
          <w:rFonts w:hint="eastAsia"/>
          <w:sz w:val="28"/>
          <w:szCs w:val="28"/>
        </w:rPr>
        <w:t>万股“</w:t>
      </w:r>
      <w:r w:rsidRPr="009852E0">
        <w:rPr>
          <w:rFonts w:hint="eastAsia"/>
          <w:sz w:val="28"/>
          <w:szCs w:val="28"/>
        </w:rPr>
        <w:t>Y</w:t>
      </w:r>
      <w:r w:rsidRPr="009852E0">
        <w:rPr>
          <w:rFonts w:hint="eastAsia"/>
          <w:sz w:val="28"/>
          <w:szCs w:val="28"/>
        </w:rPr>
        <w:t>”</w:t>
      </w:r>
      <w:r w:rsidRPr="009852E0">
        <w:rPr>
          <w:rFonts w:hint="eastAsia"/>
          <w:sz w:val="28"/>
          <w:szCs w:val="28"/>
        </w:rPr>
        <w:t>,</w:t>
      </w:r>
      <w:r w:rsidRPr="009852E0">
        <w:rPr>
          <w:rFonts w:hint="eastAsia"/>
          <w:sz w:val="28"/>
          <w:szCs w:val="28"/>
        </w:rPr>
        <w:t>卖出后获利共计</w:t>
      </w:r>
      <w:r w:rsidRPr="009852E0">
        <w:rPr>
          <w:rFonts w:hint="eastAsia"/>
          <w:sz w:val="28"/>
          <w:szCs w:val="28"/>
        </w:rPr>
        <w:t>9.7</w:t>
      </w:r>
      <w:r w:rsidRPr="009852E0">
        <w:rPr>
          <w:rFonts w:hint="eastAsia"/>
          <w:sz w:val="28"/>
          <w:szCs w:val="28"/>
        </w:rPr>
        <w:t>万元。</w:t>
      </w:r>
    </w:p>
    <w:p w:rsidR="009852E0" w:rsidRPr="009852E0" w:rsidRDefault="009852E0" w:rsidP="009852E0">
      <w:pPr>
        <w:ind w:firstLineChars="200" w:firstLine="560"/>
        <w:jc w:val="left"/>
        <w:rPr>
          <w:sz w:val="28"/>
          <w:szCs w:val="28"/>
        </w:rPr>
      </w:pPr>
      <w:r w:rsidRPr="009852E0">
        <w:rPr>
          <w:rFonts w:hint="eastAsia"/>
          <w:sz w:val="28"/>
          <w:szCs w:val="28"/>
        </w:rPr>
        <w:t>这两个故事中，</w:t>
      </w:r>
      <w:r w:rsidRPr="009852E0">
        <w:rPr>
          <w:rFonts w:hint="eastAsia"/>
          <w:sz w:val="28"/>
          <w:szCs w:val="28"/>
        </w:rPr>
        <w:t>H</w:t>
      </w:r>
      <w:r w:rsidRPr="009852E0">
        <w:rPr>
          <w:rFonts w:hint="eastAsia"/>
          <w:sz w:val="28"/>
          <w:szCs w:val="28"/>
        </w:rPr>
        <w:t>公司控股股东</w:t>
      </w:r>
      <w:r w:rsidRPr="009852E0">
        <w:rPr>
          <w:rFonts w:hint="eastAsia"/>
          <w:sz w:val="28"/>
          <w:szCs w:val="28"/>
        </w:rPr>
        <w:t>Z</w:t>
      </w:r>
      <w:r w:rsidRPr="009852E0">
        <w:rPr>
          <w:rFonts w:hint="eastAsia"/>
          <w:sz w:val="28"/>
          <w:szCs w:val="28"/>
        </w:rPr>
        <w:t>公司的董事臧某、</w:t>
      </w:r>
      <w:r w:rsidRPr="009852E0">
        <w:rPr>
          <w:rFonts w:hint="eastAsia"/>
          <w:sz w:val="28"/>
          <w:szCs w:val="28"/>
        </w:rPr>
        <w:t>Z</w:t>
      </w:r>
      <w:r w:rsidRPr="009852E0">
        <w:rPr>
          <w:rFonts w:hint="eastAsia"/>
          <w:sz w:val="28"/>
          <w:szCs w:val="28"/>
        </w:rPr>
        <w:t>证券工作人员余某都是《证券法》规定的证券交易内幕信息的知情人，他们的妻子在内幕信息敏感期内“碰巧”买了与这些信息有关的股票。按照《证券法》七十三条、七十六条的规定，内幕信息知情人和非法获取内幕信息的人，在内幕信息公开前，不得买卖该公司的证券。《最高人民法院、最高人民检察院关于办理内幕交易、泄露内幕信息刑事案件具体应用法律若干问题的解释》第二条对此也作了明确规定，包括内幕信息知情人员的近亲属或者其他与内幕信息知情人员关系密切的人员，在内幕信息敏感期内买卖了与该内幕信息有关的股票，交易</w:t>
      </w:r>
      <w:r w:rsidRPr="009852E0">
        <w:rPr>
          <w:rFonts w:hint="eastAsia"/>
          <w:sz w:val="28"/>
          <w:szCs w:val="28"/>
        </w:rPr>
        <w:lastRenderedPageBreak/>
        <w:t>行为明显异常，且无正当理由或者正当信息来源的，构成内幕交易。尽管被处罚的人都辩解称没有利用相关信息，但瓜田李下的事还是不要做，做了就逃不开法律的惩罚。这也提醒内幕信息知情人，例如上市公司董事、监事、高级管理人员，由于职务或工作原因知悉内幕信息的证券公司、律师事务所、会计师事务所等中介机构从业人员等，一定要守住职业道德的红线和法律规定的底线，管好“枕边人”、“身边人”，不做资本市场的“老鼠”。</w:t>
      </w:r>
    </w:p>
    <w:p w:rsidR="009852E0" w:rsidRPr="009852E0" w:rsidRDefault="009852E0" w:rsidP="009852E0">
      <w:pPr>
        <w:ind w:firstLineChars="200" w:firstLine="560"/>
        <w:jc w:val="left"/>
        <w:rPr>
          <w:sz w:val="28"/>
          <w:szCs w:val="28"/>
        </w:rPr>
      </w:pPr>
      <w:r w:rsidRPr="009852E0">
        <w:rPr>
          <w:rFonts w:hint="eastAsia"/>
          <w:sz w:val="28"/>
          <w:szCs w:val="28"/>
        </w:rPr>
        <w:t>好多人以为就是打探或者听个消息，不太当回事，但内幕交易是一种严重的违法行为，法律规定了严厉的制裁措施，不仅赚了钱要没收违法所得，并处以违法所得一倍以上五倍以下的罚款，没赚到钱甚至亏了也要处以三万元以上六十万元以下的罚款。如果情节严重，比如证券交易成交金额累计在五十万元以上，或者获利（避免损失）数额累计在十五万元以上的还将构成内幕交易罪，被追究刑事责任。当年的首富黄光裕就是因为内幕交易身陷囹圄，至今还在狱中。</w:t>
      </w:r>
    </w:p>
    <w:p w:rsidR="00DD2FAB" w:rsidRDefault="009852E0" w:rsidP="009852E0">
      <w:pPr>
        <w:ind w:firstLineChars="200" w:firstLine="560"/>
        <w:jc w:val="left"/>
        <w:rPr>
          <w:rFonts w:hint="eastAsia"/>
          <w:sz w:val="28"/>
          <w:szCs w:val="28"/>
        </w:rPr>
      </w:pPr>
      <w:r w:rsidRPr="009852E0">
        <w:rPr>
          <w:rFonts w:hint="eastAsia"/>
          <w:sz w:val="28"/>
          <w:szCs w:val="28"/>
        </w:rPr>
        <w:t>另外，这对于广大投资者也具有深刻的警示意义。不要试图去打探小道消息、听信内幕信息，其中包含了巨大的法律风险和投资风险。试想，如果打探来的消息是真的，就可能构成违法甚至犯罪，如果是假消息，那更是得不偿失，肯定又中了哪个“害人精”的圈套，被卖了还在帮人家数钱。</w:t>
      </w:r>
    </w:p>
    <w:p w:rsidR="00897D54" w:rsidRDefault="00897D54" w:rsidP="009852E0">
      <w:pPr>
        <w:ind w:firstLineChars="200" w:firstLine="560"/>
        <w:jc w:val="left"/>
        <w:rPr>
          <w:rFonts w:hint="eastAsia"/>
          <w:sz w:val="28"/>
          <w:szCs w:val="28"/>
        </w:rPr>
      </w:pPr>
    </w:p>
    <w:p w:rsidR="00897D54" w:rsidRPr="00595DF0" w:rsidRDefault="00897D54" w:rsidP="00897D54">
      <w:pPr>
        <w:ind w:firstLineChars="200" w:firstLine="562"/>
        <w:jc w:val="right"/>
        <w:rPr>
          <w:b/>
          <w:sz w:val="28"/>
          <w:szCs w:val="28"/>
        </w:rPr>
      </w:pPr>
      <w:r w:rsidRPr="00595DF0">
        <w:rPr>
          <w:rFonts w:hint="eastAsia"/>
          <w:b/>
          <w:sz w:val="28"/>
          <w:szCs w:val="28"/>
        </w:rPr>
        <w:t>来源：中国证券监督管理委员会</w:t>
      </w:r>
    </w:p>
    <w:p w:rsidR="00897D54" w:rsidRPr="00897D54" w:rsidRDefault="00897D54" w:rsidP="009852E0">
      <w:pPr>
        <w:ind w:firstLineChars="200" w:firstLine="560"/>
        <w:jc w:val="left"/>
        <w:rPr>
          <w:sz w:val="28"/>
          <w:szCs w:val="28"/>
        </w:rPr>
      </w:pPr>
      <w:bookmarkStart w:id="0" w:name="_GoBack"/>
      <w:bookmarkEnd w:id="0"/>
    </w:p>
    <w:sectPr w:rsidR="00897D54" w:rsidRPr="00897D54">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70F" w:rsidRDefault="0054470F" w:rsidP="00DD2FAB">
      <w:r>
        <w:separator/>
      </w:r>
    </w:p>
  </w:endnote>
  <w:endnote w:type="continuationSeparator" w:id="0">
    <w:p w:rsidR="0054470F" w:rsidRDefault="0054470F" w:rsidP="00DD2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70F" w:rsidRDefault="0054470F" w:rsidP="00DD2FAB">
      <w:r>
        <w:separator/>
      </w:r>
    </w:p>
  </w:footnote>
  <w:footnote w:type="continuationSeparator" w:id="0">
    <w:p w:rsidR="0054470F" w:rsidRDefault="0054470F" w:rsidP="00DD2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CA1" w:rsidRDefault="00163CA1" w:rsidP="00163CA1">
    <w:pPr>
      <w:pStyle w:val="a3"/>
      <w:jc w:val="left"/>
    </w:pPr>
    <w:r>
      <w:rPr>
        <w:noProof/>
        <w:sz w:val="28"/>
        <w:szCs w:val="28"/>
      </w:rPr>
      <w:drawing>
        <wp:inline distT="0" distB="0" distL="0" distR="0" wp14:anchorId="0C3C068D" wp14:editId="75D416ED">
          <wp:extent cx="2280779" cy="508883"/>
          <wp:effectExtent l="0" t="0" r="5715"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3850" cy="514031"/>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C78"/>
    <w:rsid w:val="00163CA1"/>
    <w:rsid w:val="0054470F"/>
    <w:rsid w:val="005900D0"/>
    <w:rsid w:val="00795FEB"/>
    <w:rsid w:val="00801E24"/>
    <w:rsid w:val="00897D54"/>
    <w:rsid w:val="009852E0"/>
    <w:rsid w:val="009B773C"/>
    <w:rsid w:val="00BC6A7B"/>
    <w:rsid w:val="00C823BD"/>
    <w:rsid w:val="00DD2FAB"/>
    <w:rsid w:val="00F85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2FA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D2FAB"/>
    <w:rPr>
      <w:sz w:val="18"/>
      <w:szCs w:val="18"/>
    </w:rPr>
  </w:style>
  <w:style w:type="paragraph" w:styleId="a4">
    <w:name w:val="footer"/>
    <w:basedOn w:val="a"/>
    <w:link w:val="Char0"/>
    <w:uiPriority w:val="99"/>
    <w:unhideWhenUsed/>
    <w:rsid w:val="00DD2FAB"/>
    <w:pPr>
      <w:tabs>
        <w:tab w:val="center" w:pos="4153"/>
        <w:tab w:val="right" w:pos="8306"/>
      </w:tabs>
      <w:snapToGrid w:val="0"/>
      <w:jc w:val="left"/>
    </w:pPr>
    <w:rPr>
      <w:sz w:val="18"/>
      <w:szCs w:val="18"/>
    </w:rPr>
  </w:style>
  <w:style w:type="character" w:customStyle="1" w:styleId="Char0">
    <w:name w:val="页脚 Char"/>
    <w:basedOn w:val="a0"/>
    <w:link w:val="a4"/>
    <w:uiPriority w:val="99"/>
    <w:rsid w:val="00DD2FAB"/>
    <w:rPr>
      <w:sz w:val="18"/>
      <w:szCs w:val="18"/>
    </w:rPr>
  </w:style>
  <w:style w:type="paragraph" w:styleId="a5">
    <w:name w:val="Balloon Text"/>
    <w:basedOn w:val="a"/>
    <w:link w:val="Char1"/>
    <w:uiPriority w:val="99"/>
    <w:semiHidden/>
    <w:unhideWhenUsed/>
    <w:rsid w:val="00DD2FAB"/>
    <w:rPr>
      <w:sz w:val="18"/>
      <w:szCs w:val="18"/>
    </w:rPr>
  </w:style>
  <w:style w:type="character" w:customStyle="1" w:styleId="Char1">
    <w:name w:val="批注框文本 Char"/>
    <w:basedOn w:val="a0"/>
    <w:link w:val="a5"/>
    <w:uiPriority w:val="99"/>
    <w:semiHidden/>
    <w:rsid w:val="00DD2FA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2FA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D2FAB"/>
    <w:rPr>
      <w:sz w:val="18"/>
      <w:szCs w:val="18"/>
    </w:rPr>
  </w:style>
  <w:style w:type="paragraph" w:styleId="a4">
    <w:name w:val="footer"/>
    <w:basedOn w:val="a"/>
    <w:link w:val="Char0"/>
    <w:uiPriority w:val="99"/>
    <w:unhideWhenUsed/>
    <w:rsid w:val="00DD2FAB"/>
    <w:pPr>
      <w:tabs>
        <w:tab w:val="center" w:pos="4153"/>
        <w:tab w:val="right" w:pos="8306"/>
      </w:tabs>
      <w:snapToGrid w:val="0"/>
      <w:jc w:val="left"/>
    </w:pPr>
    <w:rPr>
      <w:sz w:val="18"/>
      <w:szCs w:val="18"/>
    </w:rPr>
  </w:style>
  <w:style w:type="character" w:customStyle="1" w:styleId="Char0">
    <w:name w:val="页脚 Char"/>
    <w:basedOn w:val="a0"/>
    <w:link w:val="a4"/>
    <w:uiPriority w:val="99"/>
    <w:rsid w:val="00DD2FAB"/>
    <w:rPr>
      <w:sz w:val="18"/>
      <w:szCs w:val="18"/>
    </w:rPr>
  </w:style>
  <w:style w:type="paragraph" w:styleId="a5">
    <w:name w:val="Balloon Text"/>
    <w:basedOn w:val="a"/>
    <w:link w:val="Char1"/>
    <w:uiPriority w:val="99"/>
    <w:semiHidden/>
    <w:unhideWhenUsed/>
    <w:rsid w:val="00DD2FAB"/>
    <w:rPr>
      <w:sz w:val="18"/>
      <w:szCs w:val="18"/>
    </w:rPr>
  </w:style>
  <w:style w:type="character" w:customStyle="1" w:styleId="Char1">
    <w:name w:val="批注框文本 Char"/>
    <w:basedOn w:val="a0"/>
    <w:link w:val="a5"/>
    <w:uiPriority w:val="99"/>
    <w:semiHidden/>
    <w:rsid w:val="00DD2FA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473498">
      <w:bodyDiv w:val="1"/>
      <w:marLeft w:val="0"/>
      <w:marRight w:val="0"/>
      <w:marTop w:val="0"/>
      <w:marBottom w:val="0"/>
      <w:divBdr>
        <w:top w:val="none" w:sz="0" w:space="0" w:color="auto"/>
        <w:left w:val="none" w:sz="0" w:space="0" w:color="auto"/>
        <w:bottom w:val="none" w:sz="0" w:space="0" w:color="auto"/>
        <w:right w:val="none" w:sz="0" w:space="0" w:color="auto"/>
      </w:divBdr>
      <w:divsChild>
        <w:div w:id="1822116506">
          <w:marLeft w:val="0"/>
          <w:marRight w:val="0"/>
          <w:marTop w:val="0"/>
          <w:marBottom w:val="0"/>
          <w:divBdr>
            <w:top w:val="none" w:sz="0" w:space="0" w:color="auto"/>
            <w:left w:val="none" w:sz="0" w:space="0" w:color="auto"/>
            <w:bottom w:val="none" w:sz="0" w:space="0" w:color="auto"/>
            <w:right w:val="none" w:sz="0" w:space="0" w:color="auto"/>
          </w:divBdr>
          <w:divsChild>
            <w:div w:id="892814600">
              <w:marLeft w:val="0"/>
              <w:marRight w:val="0"/>
              <w:marTop w:val="0"/>
              <w:marBottom w:val="0"/>
              <w:divBdr>
                <w:top w:val="none" w:sz="0" w:space="0" w:color="auto"/>
                <w:left w:val="none" w:sz="0" w:space="0" w:color="auto"/>
                <w:bottom w:val="none" w:sz="0" w:space="0" w:color="auto"/>
                <w:right w:val="none" w:sz="0" w:space="0" w:color="auto"/>
              </w:divBdr>
              <w:divsChild>
                <w:div w:id="239142320">
                  <w:marLeft w:val="105"/>
                  <w:marRight w:val="105"/>
                  <w:marTop w:val="0"/>
                  <w:marBottom w:val="0"/>
                  <w:divBdr>
                    <w:top w:val="none" w:sz="0" w:space="0" w:color="auto"/>
                    <w:left w:val="none" w:sz="0" w:space="0" w:color="auto"/>
                    <w:bottom w:val="none" w:sz="0" w:space="0" w:color="auto"/>
                    <w:right w:val="none" w:sz="0" w:space="0" w:color="auto"/>
                  </w:divBdr>
                  <w:divsChild>
                    <w:div w:id="1583831193">
                      <w:marLeft w:val="0"/>
                      <w:marRight w:val="0"/>
                      <w:marTop w:val="0"/>
                      <w:marBottom w:val="0"/>
                      <w:divBdr>
                        <w:top w:val="none" w:sz="0" w:space="0" w:color="auto"/>
                        <w:left w:val="none" w:sz="0" w:space="0" w:color="auto"/>
                        <w:bottom w:val="none" w:sz="0" w:space="0" w:color="auto"/>
                        <w:right w:val="none" w:sz="0" w:space="0" w:color="auto"/>
                      </w:divBdr>
                      <w:divsChild>
                        <w:div w:id="106942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5005962">
      <w:bodyDiv w:val="1"/>
      <w:marLeft w:val="0"/>
      <w:marRight w:val="0"/>
      <w:marTop w:val="0"/>
      <w:marBottom w:val="0"/>
      <w:divBdr>
        <w:top w:val="none" w:sz="0" w:space="0" w:color="auto"/>
        <w:left w:val="none" w:sz="0" w:space="0" w:color="auto"/>
        <w:bottom w:val="none" w:sz="0" w:space="0" w:color="auto"/>
        <w:right w:val="none" w:sz="0" w:space="0" w:color="auto"/>
      </w:divBdr>
      <w:divsChild>
        <w:div w:id="1276257530">
          <w:marLeft w:val="0"/>
          <w:marRight w:val="0"/>
          <w:marTop w:val="0"/>
          <w:marBottom w:val="0"/>
          <w:divBdr>
            <w:top w:val="none" w:sz="0" w:space="0" w:color="auto"/>
            <w:left w:val="none" w:sz="0" w:space="0" w:color="auto"/>
            <w:bottom w:val="none" w:sz="0" w:space="0" w:color="auto"/>
            <w:right w:val="none" w:sz="0" w:space="0" w:color="auto"/>
          </w:divBdr>
          <w:divsChild>
            <w:div w:id="1870332690">
              <w:marLeft w:val="0"/>
              <w:marRight w:val="0"/>
              <w:marTop w:val="0"/>
              <w:marBottom w:val="0"/>
              <w:divBdr>
                <w:top w:val="none" w:sz="0" w:space="0" w:color="auto"/>
                <w:left w:val="none" w:sz="0" w:space="0" w:color="auto"/>
                <w:bottom w:val="none" w:sz="0" w:space="0" w:color="auto"/>
                <w:right w:val="none" w:sz="0" w:space="0" w:color="auto"/>
              </w:divBdr>
              <w:divsChild>
                <w:div w:id="1684934076">
                  <w:marLeft w:val="105"/>
                  <w:marRight w:val="105"/>
                  <w:marTop w:val="0"/>
                  <w:marBottom w:val="0"/>
                  <w:divBdr>
                    <w:top w:val="none" w:sz="0" w:space="0" w:color="auto"/>
                    <w:left w:val="none" w:sz="0" w:space="0" w:color="auto"/>
                    <w:bottom w:val="none" w:sz="0" w:space="0" w:color="auto"/>
                    <w:right w:val="none" w:sz="0" w:space="0" w:color="auto"/>
                  </w:divBdr>
                  <w:divsChild>
                    <w:div w:id="165050796">
                      <w:marLeft w:val="0"/>
                      <w:marRight w:val="0"/>
                      <w:marTop w:val="0"/>
                      <w:marBottom w:val="0"/>
                      <w:divBdr>
                        <w:top w:val="none" w:sz="0" w:space="0" w:color="auto"/>
                        <w:left w:val="none" w:sz="0" w:space="0" w:color="auto"/>
                        <w:bottom w:val="none" w:sz="0" w:space="0" w:color="auto"/>
                        <w:right w:val="none" w:sz="0" w:space="0" w:color="auto"/>
                      </w:divBdr>
                      <w:divsChild>
                        <w:div w:id="790905701">
                          <w:marLeft w:val="0"/>
                          <w:marRight w:val="0"/>
                          <w:marTop w:val="0"/>
                          <w:marBottom w:val="0"/>
                          <w:divBdr>
                            <w:top w:val="none" w:sz="0" w:space="0" w:color="auto"/>
                            <w:left w:val="none" w:sz="0" w:space="0" w:color="auto"/>
                            <w:bottom w:val="none" w:sz="0" w:space="0" w:color="auto"/>
                            <w:right w:val="none" w:sz="0" w:space="0" w:color="auto"/>
                          </w:divBdr>
                          <w:divsChild>
                            <w:div w:id="1159074271">
                              <w:marLeft w:val="0"/>
                              <w:marRight w:val="0"/>
                              <w:marTop w:val="0"/>
                              <w:marBottom w:val="0"/>
                              <w:divBdr>
                                <w:top w:val="none" w:sz="0" w:space="0" w:color="auto"/>
                                <w:left w:val="none" w:sz="0" w:space="0" w:color="auto"/>
                                <w:bottom w:val="none" w:sz="0" w:space="0" w:color="auto"/>
                                <w:right w:val="none" w:sz="0" w:space="0" w:color="auto"/>
                              </w:divBdr>
                              <w:divsChild>
                                <w:div w:id="140722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162</Words>
  <Characters>926</Characters>
  <Application>Microsoft Office Word</Application>
  <DocSecurity>0</DocSecurity>
  <Lines>7</Lines>
  <Paragraphs>2</Paragraphs>
  <ScaleCrop>false</ScaleCrop>
  <Company>china</Company>
  <LinksUpToDate>false</LinksUpToDate>
  <CharactersWithSpaces>1086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cp:revision>
  <dcterms:created xsi:type="dcterms:W3CDTF">2017-07-31T00:36:00Z</dcterms:created>
  <dcterms:modified xsi:type="dcterms:W3CDTF">2017-08-03T02:46:00Z</dcterms:modified>
</cp:coreProperties>
</file>